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2B8649" w14:textId="0046F58D" w:rsidR="00716344" w:rsidRDefault="00124920">
      <w:r>
        <w:rPr>
          <w:rFonts w:ascii="Calibri" w:hAnsi="Calibri" w:cs="Calibri"/>
          <w:b/>
          <w:bCs/>
          <w:noProof/>
          <w:color w:val="FFFFFF" w:themeColor="background1"/>
          <w:sz w:val="56"/>
          <w:szCs w:val="56"/>
        </w:rPr>
        <w:drawing>
          <wp:anchor distT="0" distB="0" distL="114300" distR="114300" simplePos="0" relativeHeight="251667456" behindDoc="1" locked="0" layoutInCell="1" allowOverlap="1" wp14:anchorId="2EE62B89" wp14:editId="240CABF8">
            <wp:simplePos x="0" y="0"/>
            <wp:positionH relativeFrom="column">
              <wp:posOffset>-1123678</wp:posOffset>
            </wp:positionH>
            <wp:positionV relativeFrom="paragraph">
              <wp:posOffset>-878024</wp:posOffset>
            </wp:positionV>
            <wp:extent cx="7837714" cy="10142559"/>
            <wp:effectExtent l="0" t="0" r="0" b="5080"/>
            <wp:wrapNone/>
            <wp:docPr id="8161732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73221" name="Imagen 8161732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69406" cy="10183571"/>
                    </a:xfrm>
                    <a:prstGeom prst="rect">
                      <a:avLst/>
                    </a:prstGeom>
                  </pic:spPr>
                </pic:pic>
              </a:graphicData>
            </a:graphic>
            <wp14:sizeRelH relativeFrom="page">
              <wp14:pctWidth>0</wp14:pctWidth>
            </wp14:sizeRelH>
            <wp14:sizeRelV relativeFrom="page">
              <wp14:pctHeight>0</wp14:pctHeight>
            </wp14:sizeRelV>
          </wp:anchor>
        </w:drawing>
      </w:r>
    </w:p>
    <w:p w14:paraId="626A602C" w14:textId="2CE29CA2" w:rsidR="00124920" w:rsidRDefault="004E0B44" w:rsidP="004E0B44">
      <w:pPr>
        <w:spacing w:after="0" w:line="240" w:lineRule="auto"/>
        <w:rPr>
          <w:rFonts w:ascii="Calibri" w:hAnsi="Calibri" w:cs="Calibri"/>
          <w:b/>
          <w:bCs/>
          <w:color w:val="FFFFFF" w:themeColor="background1"/>
          <w:sz w:val="56"/>
          <w:szCs w:val="56"/>
        </w:rPr>
      </w:pPr>
      <w:r>
        <w:rPr>
          <w:rFonts w:ascii="Calibri" w:hAnsi="Calibri" w:cs="Calibri"/>
          <w:b/>
          <w:bCs/>
          <w:color w:val="FFFFFF" w:themeColor="background1"/>
          <w:sz w:val="56"/>
          <w:szCs w:val="56"/>
        </w:rPr>
        <w:t xml:space="preserve">  </w:t>
      </w:r>
    </w:p>
    <w:p w14:paraId="439B6F7D" w14:textId="0CB092D5" w:rsidR="00124920" w:rsidRDefault="00124920" w:rsidP="004E0B44">
      <w:pPr>
        <w:spacing w:after="0" w:line="240" w:lineRule="auto"/>
        <w:rPr>
          <w:rFonts w:ascii="Calibri" w:hAnsi="Calibri" w:cs="Calibri"/>
          <w:b/>
          <w:bCs/>
          <w:color w:val="FFFFFF" w:themeColor="background1"/>
          <w:sz w:val="56"/>
          <w:szCs w:val="56"/>
        </w:rPr>
      </w:pPr>
    </w:p>
    <w:p w14:paraId="49C2326B" w14:textId="4F77C0FA" w:rsidR="00124920" w:rsidRDefault="00124920" w:rsidP="004E0B44">
      <w:pPr>
        <w:spacing w:after="0" w:line="240" w:lineRule="auto"/>
        <w:rPr>
          <w:rFonts w:ascii="Calibri" w:hAnsi="Calibri" w:cs="Calibri"/>
          <w:b/>
          <w:bCs/>
          <w:color w:val="FFFFFF" w:themeColor="background1"/>
          <w:sz w:val="56"/>
          <w:szCs w:val="56"/>
        </w:rPr>
      </w:pPr>
    </w:p>
    <w:p w14:paraId="537EA055" w14:textId="5B6C661A" w:rsidR="00124920" w:rsidRDefault="00124920" w:rsidP="004E0B44">
      <w:pPr>
        <w:spacing w:after="0" w:line="240" w:lineRule="auto"/>
        <w:rPr>
          <w:rFonts w:ascii="Calibri" w:hAnsi="Calibri" w:cs="Calibri"/>
          <w:b/>
          <w:bCs/>
          <w:color w:val="FFFFFF" w:themeColor="background1"/>
          <w:sz w:val="56"/>
          <w:szCs w:val="56"/>
        </w:rPr>
      </w:pPr>
    </w:p>
    <w:p w14:paraId="2C9C477D" w14:textId="5CC0D2C8" w:rsidR="00124920" w:rsidRDefault="00124920" w:rsidP="004E0B44">
      <w:pPr>
        <w:spacing w:after="0" w:line="240" w:lineRule="auto"/>
        <w:rPr>
          <w:rFonts w:ascii="Calibri" w:hAnsi="Calibri" w:cs="Calibri"/>
          <w:b/>
          <w:bCs/>
          <w:color w:val="FFFFFF" w:themeColor="background1"/>
          <w:sz w:val="56"/>
          <w:szCs w:val="56"/>
        </w:rPr>
      </w:pPr>
    </w:p>
    <w:p w14:paraId="03230793" w14:textId="137C1639" w:rsidR="00124920" w:rsidRDefault="00124920" w:rsidP="004E0B44">
      <w:pPr>
        <w:spacing w:after="0" w:line="240" w:lineRule="auto"/>
        <w:rPr>
          <w:rFonts w:ascii="Calibri" w:hAnsi="Calibri" w:cs="Calibri"/>
          <w:b/>
          <w:bCs/>
          <w:color w:val="FFFFFF" w:themeColor="background1"/>
          <w:sz w:val="56"/>
          <w:szCs w:val="56"/>
        </w:rPr>
      </w:pPr>
    </w:p>
    <w:p w14:paraId="2CA5F3CB" w14:textId="13A37338" w:rsidR="00124920" w:rsidRDefault="00124920" w:rsidP="004E0B44">
      <w:pPr>
        <w:spacing w:after="0" w:line="240" w:lineRule="auto"/>
        <w:rPr>
          <w:rFonts w:ascii="Calibri" w:hAnsi="Calibri" w:cs="Calibri"/>
          <w:b/>
          <w:bCs/>
          <w:color w:val="FFFFFF" w:themeColor="background1"/>
          <w:sz w:val="56"/>
          <w:szCs w:val="56"/>
        </w:rPr>
      </w:pPr>
    </w:p>
    <w:p w14:paraId="45872B45" w14:textId="02C312C9" w:rsidR="00124920" w:rsidRDefault="00124920" w:rsidP="004E0B44">
      <w:pPr>
        <w:spacing w:after="0" w:line="240" w:lineRule="auto"/>
        <w:rPr>
          <w:rFonts w:ascii="Calibri" w:hAnsi="Calibri" w:cs="Calibri"/>
          <w:b/>
          <w:bCs/>
          <w:color w:val="FFFFFF" w:themeColor="background1"/>
          <w:sz w:val="56"/>
          <w:szCs w:val="56"/>
        </w:rPr>
      </w:pPr>
    </w:p>
    <w:p w14:paraId="581DA5AA" w14:textId="13C54BFE" w:rsidR="00124920" w:rsidRDefault="00124920" w:rsidP="004E0B44">
      <w:pPr>
        <w:spacing w:after="0" w:line="240" w:lineRule="auto"/>
        <w:rPr>
          <w:rFonts w:ascii="Calibri" w:hAnsi="Calibri" w:cs="Calibri"/>
          <w:b/>
          <w:bCs/>
          <w:color w:val="FFFFFF" w:themeColor="background1"/>
          <w:sz w:val="56"/>
          <w:szCs w:val="56"/>
        </w:rPr>
      </w:pPr>
    </w:p>
    <w:p w14:paraId="5487FE1E" w14:textId="275DCD65" w:rsidR="00124920" w:rsidRDefault="00124920" w:rsidP="004E0B44">
      <w:pPr>
        <w:spacing w:after="0" w:line="240" w:lineRule="auto"/>
        <w:rPr>
          <w:rFonts w:ascii="Calibri" w:hAnsi="Calibri" w:cs="Calibri"/>
          <w:b/>
          <w:bCs/>
          <w:color w:val="FFFFFF" w:themeColor="background1"/>
          <w:sz w:val="56"/>
          <w:szCs w:val="56"/>
        </w:rPr>
      </w:pPr>
    </w:p>
    <w:p w14:paraId="4AE3C98E" w14:textId="015CD325" w:rsidR="00124920" w:rsidRDefault="00124920" w:rsidP="004E0B44">
      <w:pPr>
        <w:spacing w:after="0" w:line="240" w:lineRule="auto"/>
        <w:rPr>
          <w:rFonts w:ascii="Calibri" w:hAnsi="Calibri" w:cs="Calibri"/>
          <w:b/>
          <w:bCs/>
          <w:color w:val="FFFFFF" w:themeColor="background1"/>
          <w:sz w:val="56"/>
          <w:szCs w:val="56"/>
        </w:rPr>
      </w:pPr>
    </w:p>
    <w:p w14:paraId="78A0ECE4" w14:textId="7DF94851" w:rsidR="00124920" w:rsidRDefault="00124920" w:rsidP="004E0B44">
      <w:pPr>
        <w:spacing w:after="0" w:line="240" w:lineRule="auto"/>
        <w:rPr>
          <w:rFonts w:ascii="Calibri" w:hAnsi="Calibri" w:cs="Calibri"/>
          <w:b/>
          <w:bCs/>
          <w:color w:val="FFFFFF" w:themeColor="background1"/>
          <w:sz w:val="56"/>
          <w:szCs w:val="56"/>
        </w:rPr>
      </w:pPr>
    </w:p>
    <w:p w14:paraId="13E8B280" w14:textId="0F8EAE5A" w:rsidR="00124920" w:rsidRDefault="00124920" w:rsidP="004E0B44">
      <w:pPr>
        <w:spacing w:after="0" w:line="240" w:lineRule="auto"/>
        <w:rPr>
          <w:rFonts w:ascii="Calibri" w:hAnsi="Calibri" w:cs="Calibri"/>
          <w:b/>
          <w:bCs/>
          <w:color w:val="FFFFFF" w:themeColor="background1"/>
          <w:sz w:val="56"/>
          <w:szCs w:val="56"/>
        </w:rPr>
      </w:pPr>
    </w:p>
    <w:p w14:paraId="6F5B842F" w14:textId="1C3D3B4A" w:rsidR="00124920" w:rsidRDefault="00124920" w:rsidP="004E0B44">
      <w:pPr>
        <w:spacing w:after="0" w:line="240" w:lineRule="auto"/>
        <w:rPr>
          <w:rFonts w:ascii="Calibri" w:hAnsi="Calibri" w:cs="Calibri"/>
          <w:b/>
          <w:bCs/>
          <w:color w:val="FFFFFF" w:themeColor="background1"/>
          <w:sz w:val="56"/>
          <w:szCs w:val="56"/>
        </w:rPr>
      </w:pPr>
    </w:p>
    <w:p w14:paraId="196B8F4B" w14:textId="1EF9A8F2" w:rsidR="00716344" w:rsidRDefault="00124920" w:rsidP="004E0B44">
      <w:pPr>
        <w:spacing w:after="0" w:line="240" w:lineRule="auto"/>
        <w:rPr>
          <w:rFonts w:ascii="Calibri" w:hAnsi="Calibri" w:cs="Calibri"/>
          <w:b/>
          <w:bCs/>
          <w:color w:val="FFFFFF" w:themeColor="background1"/>
          <w:sz w:val="56"/>
          <w:szCs w:val="56"/>
        </w:rPr>
      </w:pPr>
      <w:r>
        <w:rPr>
          <w:noProof/>
        </w:rPr>
        <mc:AlternateContent>
          <mc:Choice Requires="wps">
            <w:drawing>
              <wp:anchor distT="0" distB="0" distL="114300" distR="114300" simplePos="0" relativeHeight="251660288" behindDoc="0" locked="0" layoutInCell="1" allowOverlap="1" wp14:anchorId="61FF8DB1" wp14:editId="1AEFF33D">
                <wp:simplePos x="0" y="0"/>
                <wp:positionH relativeFrom="column">
                  <wp:posOffset>-255905</wp:posOffset>
                </wp:positionH>
                <wp:positionV relativeFrom="paragraph">
                  <wp:posOffset>104140</wp:posOffset>
                </wp:positionV>
                <wp:extent cx="252095" cy="1531620"/>
                <wp:effectExtent l="0" t="0" r="1905" b="5080"/>
                <wp:wrapNone/>
                <wp:docPr id="1673213510" name="Rectángulo 2"/>
                <wp:cNvGraphicFramePr/>
                <a:graphic xmlns:a="http://schemas.openxmlformats.org/drawingml/2006/main">
                  <a:graphicData uri="http://schemas.microsoft.com/office/word/2010/wordprocessingShape">
                    <wps:wsp>
                      <wps:cNvSpPr/>
                      <wps:spPr>
                        <a:xfrm>
                          <a:off x="0" y="0"/>
                          <a:ext cx="252095" cy="1531620"/>
                        </a:xfrm>
                        <a:prstGeom prst="rect">
                          <a:avLst/>
                        </a:prstGeom>
                        <a:solidFill>
                          <a:srgbClr val="FF68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C5DC32" id="Rectángulo 2" o:spid="_x0000_s1026" style="position:absolute;margin-left:-20.15pt;margin-top:8.2pt;width:19.85pt;height:120.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" fillcolor="#ff6800" stroked="f" strokeweight="1pt"/>
            </w:pict>
          </mc:Fallback>
        </mc:AlternateContent>
      </w:r>
      <w:r>
        <w:rPr>
          <w:rFonts w:ascii="Calibri" w:hAnsi="Calibri" w:cs="Calibri"/>
          <w:b/>
          <w:bCs/>
          <w:color w:val="FFFFFF" w:themeColor="background1"/>
          <w:sz w:val="56"/>
          <w:szCs w:val="56"/>
        </w:rPr>
        <w:t xml:space="preserve">  </w:t>
      </w:r>
      <w:r w:rsidR="00716344">
        <w:rPr>
          <w:rFonts w:ascii="Calibri" w:hAnsi="Calibri" w:cs="Calibri"/>
          <w:b/>
          <w:bCs/>
          <w:color w:val="FFFFFF" w:themeColor="background1"/>
          <w:sz w:val="56"/>
          <w:szCs w:val="56"/>
        </w:rPr>
        <w:t>INFORME</w:t>
      </w:r>
    </w:p>
    <w:p w14:paraId="542C84C3" w14:textId="03A7C45E" w:rsidR="00716344" w:rsidRDefault="004E0B44" w:rsidP="004E0B44">
      <w:pPr>
        <w:spacing w:after="0" w:line="240" w:lineRule="auto"/>
        <w:rPr>
          <w:rFonts w:ascii="Calibri" w:hAnsi="Calibri" w:cs="Calibri"/>
          <w:b/>
          <w:bCs/>
          <w:color w:val="FFFFFF" w:themeColor="background1"/>
          <w:sz w:val="56"/>
          <w:szCs w:val="56"/>
        </w:rPr>
      </w:pPr>
      <w:r>
        <w:rPr>
          <w:rFonts w:ascii="Calibri" w:hAnsi="Calibri" w:cs="Calibri"/>
          <w:b/>
          <w:bCs/>
          <w:color w:val="FFFFFF" w:themeColor="background1"/>
          <w:sz w:val="56"/>
          <w:szCs w:val="56"/>
        </w:rPr>
        <w:t xml:space="preserve">  INTEGRADO </w:t>
      </w:r>
    </w:p>
    <w:p w14:paraId="4348D66F" w14:textId="2162BB6A" w:rsidR="004E0B44" w:rsidRPr="00716344" w:rsidRDefault="004E0B44" w:rsidP="004E0B44">
      <w:pPr>
        <w:spacing w:after="0" w:line="240" w:lineRule="auto"/>
        <w:rPr>
          <w:rFonts w:ascii="Calibri" w:hAnsi="Calibri" w:cs="Calibri"/>
          <w:b/>
          <w:bCs/>
          <w:color w:val="FFFFFF" w:themeColor="background1"/>
          <w:sz w:val="56"/>
          <w:szCs w:val="56"/>
        </w:rPr>
      </w:pPr>
      <w:r>
        <w:rPr>
          <w:rFonts w:ascii="Calibri" w:hAnsi="Calibri" w:cs="Calibri"/>
          <w:b/>
          <w:bCs/>
          <w:color w:val="FFFFFF" w:themeColor="background1"/>
          <w:sz w:val="56"/>
          <w:szCs w:val="56"/>
        </w:rPr>
        <w:t xml:space="preserve">  TRANSELCA</w:t>
      </w:r>
    </w:p>
    <w:p w14:paraId="65B9720B" w14:textId="77777777" w:rsidR="00FF1A50" w:rsidRDefault="004E0B44" w:rsidP="00124920">
      <w:pPr>
        <w:spacing w:line="360" w:lineRule="auto"/>
        <w:rPr>
          <w:rFonts w:ascii="Calibri" w:hAnsi="Calibri" w:cs="Calibri"/>
          <w:b/>
          <w:bCs/>
          <w:color w:val="ED691C"/>
          <w:sz w:val="56"/>
          <w:szCs w:val="56"/>
        </w:rPr>
      </w:pPr>
      <w:r>
        <w:rPr>
          <w:rFonts w:ascii="Calibri" w:hAnsi="Calibri" w:cs="Calibri"/>
          <w:b/>
          <w:bCs/>
          <w:noProof/>
          <w:color w:val="FFFFFF" w:themeColor="background1"/>
          <w:sz w:val="56"/>
          <w:szCs w:val="56"/>
        </w:rPr>
        <mc:AlternateContent>
          <mc:Choice Requires="wps">
            <w:drawing>
              <wp:anchor distT="0" distB="0" distL="114300" distR="114300" simplePos="0" relativeHeight="251661312" behindDoc="0" locked="0" layoutInCell="1" allowOverlap="1" wp14:anchorId="61B3D87D" wp14:editId="2F387CC9">
                <wp:simplePos x="0" y="0"/>
                <wp:positionH relativeFrom="column">
                  <wp:posOffset>168698</wp:posOffset>
                </wp:positionH>
                <wp:positionV relativeFrom="paragraph">
                  <wp:posOffset>13335</wp:posOffset>
                </wp:positionV>
                <wp:extent cx="1796645" cy="0"/>
                <wp:effectExtent l="0" t="0" r="6985" b="12700"/>
                <wp:wrapNone/>
                <wp:docPr id="1876028561" name="Conector recto 3"/>
                <wp:cNvGraphicFramePr/>
                <a:graphic xmlns:a="http://schemas.openxmlformats.org/drawingml/2006/main">
                  <a:graphicData uri="http://schemas.microsoft.com/office/word/2010/wordprocessingShape">
                    <wps:wsp>
                      <wps:cNvCnPr/>
                      <wps:spPr>
                        <a:xfrm>
                          <a:off x="0" y="0"/>
                          <a:ext cx="1796645" cy="0"/>
                        </a:xfrm>
                        <a:prstGeom prst="line">
                          <a:avLst/>
                        </a:prstGeom>
                        <a:ln>
                          <a:solidFill>
                            <a:schemeClr val="bg1"/>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8B9FF2" id="Conector recto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1.05pt" to="154.7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" strokecolor="white [3212]" strokeweight="1pt">
                <v:stroke joinstyle="miter"/>
              </v:line>
            </w:pict>
          </mc:Fallback>
        </mc:AlternateContent>
      </w:r>
      <w:r>
        <w:rPr>
          <w:rFonts w:ascii="Calibri" w:hAnsi="Calibri" w:cs="Calibri"/>
          <w:b/>
          <w:bCs/>
          <w:color w:val="ED691C"/>
          <w:sz w:val="56"/>
          <w:szCs w:val="56"/>
        </w:rPr>
        <w:t xml:space="preserve">  </w:t>
      </w:r>
      <w:r w:rsidR="00716344" w:rsidRPr="00716344">
        <w:rPr>
          <w:rFonts w:ascii="Calibri" w:hAnsi="Calibri" w:cs="Calibri"/>
          <w:b/>
          <w:bCs/>
          <w:color w:val="ED691C"/>
          <w:sz w:val="56"/>
          <w:szCs w:val="56"/>
        </w:rPr>
        <w:t>202</w:t>
      </w:r>
      <w:r w:rsidR="00124920">
        <w:rPr>
          <w:rFonts w:ascii="Calibri" w:hAnsi="Calibri" w:cs="Calibri"/>
          <w:b/>
          <w:bCs/>
          <w:color w:val="ED691C"/>
          <w:sz w:val="56"/>
          <w:szCs w:val="56"/>
        </w:rPr>
        <w:t>4</w:t>
      </w:r>
    </w:p>
    <w:p w14:paraId="40D8E529" w14:textId="22026F2C" w:rsidR="00200EE9" w:rsidRPr="00725614" w:rsidRDefault="00200EE9" w:rsidP="00200EE9">
      <w:pPr>
        <w:rPr>
          <w:rFonts w:ascii="Tahoma" w:eastAsia="Tahoma" w:hAnsi="Tahoma" w:cs="Tahoma"/>
          <w:b/>
          <w:color w:val="0070C0"/>
          <w:w w:val="105"/>
          <w:kern w:val="0"/>
          <w:sz w:val="44"/>
          <w:szCs w:val="44"/>
          <w:lang w:val="es-MX"/>
          <w14:ligatures w14:val="none"/>
        </w:rPr>
      </w:pPr>
      <w:r w:rsidRPr="00725614">
        <w:rPr>
          <w:noProof/>
          <w:color w:val="0070C0"/>
          <w:sz w:val="44"/>
          <w:szCs w:val="44"/>
        </w:rPr>
        <w:lastRenderedPageBreak/>
        <mc:AlternateContent>
          <mc:Choice Requires="wps">
            <w:drawing>
              <wp:anchor distT="0" distB="0" distL="114300" distR="114300" simplePos="0" relativeHeight="251666432" behindDoc="0" locked="0" layoutInCell="1" allowOverlap="1" wp14:anchorId="48D64C05" wp14:editId="6EFF33DF">
                <wp:simplePos x="0" y="0"/>
                <wp:positionH relativeFrom="column">
                  <wp:posOffset>6350</wp:posOffset>
                </wp:positionH>
                <wp:positionV relativeFrom="paragraph">
                  <wp:posOffset>44653</wp:posOffset>
                </wp:positionV>
                <wp:extent cx="194310" cy="254635"/>
                <wp:effectExtent l="0" t="0" r="0" b="0"/>
                <wp:wrapSquare wrapText="bothSides"/>
                <wp:docPr id="797505100" name="Rectángulo 8"/>
                <wp:cNvGraphicFramePr/>
                <a:graphic xmlns:a="http://schemas.openxmlformats.org/drawingml/2006/main">
                  <a:graphicData uri="http://schemas.microsoft.com/office/word/2010/wordprocessingShape">
                    <wps:wsp>
                      <wps:cNvSpPr/>
                      <wps:spPr>
                        <a:xfrm>
                          <a:off x="0" y="0"/>
                          <a:ext cx="194310" cy="254635"/>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3F38B" id="Rectángulo 8" o:spid="_x0000_s1026" style="position:absolute;margin-left:.5pt;margin-top:3.5pt;width:15.3pt;height: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" fillcolor="#0070c0" stroked="f" strokeweight="1pt">
                <w10:wrap type="square"/>
              </v:rect>
            </w:pict>
          </mc:Fallback>
        </mc:AlternateContent>
      </w:r>
      <w:r w:rsidRPr="00725614">
        <w:rPr>
          <w:rFonts w:ascii="Tahoma" w:eastAsia="Tahoma" w:hAnsi="Tahoma" w:cs="Tahoma"/>
          <w:b/>
          <w:color w:val="0070C0"/>
          <w:w w:val="105"/>
          <w:kern w:val="0"/>
          <w:sz w:val="44"/>
          <w:szCs w:val="44"/>
          <w:lang w:val="es-MX"/>
          <w14:ligatures w14:val="none"/>
        </w:rPr>
        <w:t>Contenido</w:t>
      </w:r>
    </w:p>
    <w:tbl>
      <w:tblPr>
        <w:tblStyle w:val="Tablaconcuadrcula"/>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firstRow="1" w:lastRow="0" w:firstColumn="1" w:lastColumn="0" w:noHBand="0" w:noVBand="1"/>
      </w:tblPr>
      <w:tblGrid>
        <w:gridCol w:w="7787"/>
        <w:gridCol w:w="1031"/>
      </w:tblGrid>
      <w:tr w:rsidR="00200EE9" w:rsidRPr="00BA533C" w14:paraId="7D376367" w14:textId="77777777" w:rsidTr="00BA533C">
        <w:tc>
          <w:tcPr>
            <w:tcW w:w="7787" w:type="dxa"/>
            <w:tcBorders>
              <w:top w:val="single" w:sz="8" w:space="0" w:color="000000" w:themeColor="text1"/>
              <w:left w:val="single" w:sz="8" w:space="0" w:color="000000" w:themeColor="text1"/>
              <w:right w:val="single" w:sz="8" w:space="0" w:color="0070C0"/>
            </w:tcBorders>
            <w:shd w:val="clear" w:color="auto" w:fill="0070C0"/>
            <w:vAlign w:val="center"/>
          </w:tcPr>
          <w:p w14:paraId="57AF9421" w14:textId="4C7DB9D1" w:rsidR="00200EE9" w:rsidRPr="00920CDC" w:rsidRDefault="00200EE9" w:rsidP="00AC1146">
            <w:pPr>
              <w:pStyle w:val="Prrafodelista"/>
              <w:numPr>
                <w:ilvl w:val="0"/>
                <w:numId w:val="2"/>
              </w:numPr>
              <w:rPr>
                <w:rFonts w:ascii="Tahoma" w:eastAsia="Times New Roman" w:hAnsi="Tahoma" w:cs="Tahoma"/>
                <w:b/>
                <w:bCs/>
                <w:color w:val="FFFFFF" w:themeColor="background1"/>
                <w:kern w:val="0"/>
                <w:lang w:eastAsia="es-ES"/>
                <w14:ligatures w14:val="none"/>
              </w:rPr>
            </w:pPr>
            <w:hyperlink w:anchor="MENSAJE" w:history="1">
              <w:r w:rsidRPr="00920CDC">
                <w:rPr>
                  <w:rStyle w:val="Hipervnculo"/>
                  <w:rFonts w:ascii="Tahoma" w:eastAsia="Times New Roman" w:hAnsi="Tahoma" w:cs="Tahoma"/>
                  <w:b/>
                  <w:bCs/>
                  <w:color w:val="FFFFFF" w:themeColor="background1"/>
                  <w:kern w:val="0"/>
                  <w:lang w:eastAsia="es-ES"/>
                  <w14:ligatures w14:val="none"/>
                </w:rPr>
                <w:t xml:space="preserve">Mensaje a Grupos de </w:t>
              </w:r>
              <w:r w:rsidR="00945B61" w:rsidRPr="00920CDC">
                <w:rPr>
                  <w:rStyle w:val="Hipervnculo"/>
                  <w:rFonts w:ascii="Tahoma" w:eastAsia="Times New Roman" w:hAnsi="Tahoma" w:cs="Tahoma"/>
                  <w:b/>
                  <w:bCs/>
                  <w:color w:val="FFFFFF" w:themeColor="background1"/>
                  <w:kern w:val="0"/>
                  <w:lang w:eastAsia="es-ES"/>
                  <w14:ligatures w14:val="none"/>
                </w:rPr>
                <w:t>Interés</w:t>
              </w:r>
            </w:hyperlink>
          </w:p>
        </w:tc>
        <w:tc>
          <w:tcPr>
            <w:tcW w:w="1031" w:type="dxa"/>
            <w:tcBorders>
              <w:top w:val="single" w:sz="8" w:space="0" w:color="000000" w:themeColor="text1"/>
              <w:left w:val="single" w:sz="8" w:space="0" w:color="0070C0"/>
              <w:bottom w:val="single" w:sz="8" w:space="0" w:color="203878"/>
              <w:right w:val="single" w:sz="8" w:space="0" w:color="000000" w:themeColor="text1"/>
            </w:tcBorders>
            <w:vAlign w:val="center"/>
          </w:tcPr>
          <w:p w14:paraId="05D2A603" w14:textId="308685D5"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3</w:t>
            </w:r>
          </w:p>
        </w:tc>
      </w:tr>
      <w:tr w:rsidR="00200EE9" w:rsidRPr="00BA533C" w14:paraId="0795EBE0" w14:textId="77777777" w:rsidTr="00BA533C">
        <w:tc>
          <w:tcPr>
            <w:tcW w:w="7787" w:type="dxa"/>
            <w:tcBorders>
              <w:left w:val="single" w:sz="8" w:space="0" w:color="000000" w:themeColor="text1"/>
              <w:right w:val="single" w:sz="8" w:space="0" w:color="0070C0"/>
            </w:tcBorders>
            <w:shd w:val="clear" w:color="auto" w:fill="0070C0"/>
            <w:vAlign w:val="center"/>
          </w:tcPr>
          <w:p w14:paraId="50ED6DF6" w14:textId="73EF91CB" w:rsidR="00200EE9" w:rsidRPr="00920CDC" w:rsidRDefault="00945B61" w:rsidP="00AC1146">
            <w:pPr>
              <w:pStyle w:val="Prrafodelista"/>
              <w:numPr>
                <w:ilvl w:val="0"/>
                <w:numId w:val="2"/>
              </w:numPr>
              <w:rPr>
                <w:rFonts w:ascii="Tahoma" w:eastAsia="Times New Roman" w:hAnsi="Tahoma" w:cs="Tahoma"/>
                <w:b/>
                <w:bCs/>
                <w:color w:val="FFFFFF" w:themeColor="background1"/>
                <w:kern w:val="0"/>
                <w:lang w:eastAsia="es-ES"/>
                <w14:ligatures w14:val="none"/>
              </w:rPr>
            </w:pPr>
            <w:hyperlink w:anchor="PERFILREPORTE" w:history="1">
              <w:r w:rsidRPr="00920CDC">
                <w:rPr>
                  <w:rStyle w:val="Hipervnculo"/>
                  <w:rFonts w:ascii="Tahoma" w:eastAsia="Times New Roman" w:hAnsi="Tahoma" w:cs="Tahoma"/>
                  <w:b/>
                  <w:bCs/>
                  <w:color w:val="FFFFFF" w:themeColor="background1"/>
                  <w:kern w:val="0"/>
                  <w:lang w:eastAsia="es-ES"/>
                  <w14:ligatures w14:val="none"/>
                </w:rPr>
                <w:t>Perfil del Reporte</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3FA066D6" w14:textId="2D2D6164"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5</w:t>
            </w:r>
          </w:p>
        </w:tc>
      </w:tr>
      <w:tr w:rsidR="00200EE9" w:rsidRPr="00BA533C" w14:paraId="7D592E67" w14:textId="77777777" w:rsidTr="00BA533C">
        <w:tc>
          <w:tcPr>
            <w:tcW w:w="7787" w:type="dxa"/>
            <w:tcBorders>
              <w:left w:val="single" w:sz="8" w:space="0" w:color="000000" w:themeColor="text1"/>
              <w:right w:val="single" w:sz="8" w:space="0" w:color="0070C0"/>
            </w:tcBorders>
            <w:shd w:val="clear" w:color="auto" w:fill="0070C0"/>
            <w:vAlign w:val="center"/>
          </w:tcPr>
          <w:p w14:paraId="1D869278" w14:textId="733690EB" w:rsidR="00200EE9" w:rsidRPr="00920CDC" w:rsidRDefault="00945B61" w:rsidP="00AC1146">
            <w:pPr>
              <w:pStyle w:val="Prrafodelista"/>
              <w:numPr>
                <w:ilvl w:val="0"/>
                <w:numId w:val="2"/>
              </w:numPr>
              <w:rPr>
                <w:rFonts w:ascii="Tahoma" w:eastAsia="Times New Roman" w:hAnsi="Tahoma" w:cs="Tahoma"/>
                <w:b/>
                <w:bCs/>
                <w:color w:val="FFFFFF" w:themeColor="background1"/>
                <w:kern w:val="0"/>
                <w:lang w:eastAsia="es-ES"/>
                <w14:ligatures w14:val="none"/>
              </w:rPr>
            </w:pPr>
            <w:hyperlink w:anchor="PERFILTRANSELCA" w:history="1">
              <w:r w:rsidRPr="00920CDC">
                <w:rPr>
                  <w:rStyle w:val="Hipervnculo"/>
                  <w:rFonts w:ascii="Tahoma" w:eastAsia="Times New Roman" w:hAnsi="Tahoma" w:cs="Tahoma"/>
                  <w:b/>
                  <w:bCs/>
                  <w:color w:val="FFFFFF" w:themeColor="background1"/>
                  <w:kern w:val="0"/>
                  <w:lang w:eastAsia="es-ES"/>
                  <w14:ligatures w14:val="none"/>
                </w:rPr>
                <w:t>Perfil de TRANSELCA</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4EADD1DF" w14:textId="6B97484B"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9</w:t>
            </w:r>
          </w:p>
        </w:tc>
      </w:tr>
      <w:tr w:rsidR="00200EE9" w:rsidRPr="00BA533C" w14:paraId="2ED51B88" w14:textId="77777777" w:rsidTr="00BA533C">
        <w:tc>
          <w:tcPr>
            <w:tcW w:w="7787" w:type="dxa"/>
            <w:tcBorders>
              <w:left w:val="single" w:sz="8" w:space="0" w:color="000000" w:themeColor="text1"/>
              <w:right w:val="single" w:sz="8" w:space="0" w:color="0070C0"/>
            </w:tcBorders>
            <w:shd w:val="clear" w:color="auto" w:fill="0070C0"/>
            <w:vAlign w:val="center"/>
          </w:tcPr>
          <w:p w14:paraId="61560FD0" w14:textId="7A52BA81" w:rsidR="00200EE9" w:rsidRPr="00920CDC" w:rsidRDefault="00945B61" w:rsidP="00AC1146">
            <w:pPr>
              <w:pStyle w:val="Prrafodelista"/>
              <w:numPr>
                <w:ilvl w:val="0"/>
                <w:numId w:val="2"/>
              </w:numPr>
              <w:rPr>
                <w:rFonts w:ascii="Tahoma" w:eastAsia="Times New Roman" w:hAnsi="Tahoma" w:cs="Tahoma"/>
                <w:color w:val="FFFFFF" w:themeColor="background1"/>
                <w:kern w:val="0"/>
                <w:lang w:eastAsia="es-ES"/>
                <w14:ligatures w14:val="none"/>
              </w:rPr>
            </w:pPr>
            <w:hyperlink w:anchor="MARCOETICO" w:history="1">
              <w:r w:rsidRPr="00920CDC">
                <w:rPr>
                  <w:rStyle w:val="Hipervnculo"/>
                  <w:rFonts w:ascii="Tahoma" w:eastAsia="Times New Roman" w:hAnsi="Tahoma" w:cs="Tahoma"/>
                  <w:b/>
                  <w:bCs/>
                  <w:color w:val="FFFFFF" w:themeColor="background1"/>
                  <w:kern w:val="0"/>
                  <w:lang w:eastAsia="es-ES"/>
                  <w14:ligatures w14:val="none"/>
                </w:rPr>
                <w:t>Marco Ético</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3DA99C11" w14:textId="6A97F411"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39</w:t>
            </w:r>
          </w:p>
        </w:tc>
      </w:tr>
      <w:tr w:rsidR="00200EE9" w:rsidRPr="00BA533C" w14:paraId="62917F6E" w14:textId="77777777" w:rsidTr="00BA533C">
        <w:tc>
          <w:tcPr>
            <w:tcW w:w="7787" w:type="dxa"/>
            <w:tcBorders>
              <w:left w:val="single" w:sz="8" w:space="0" w:color="000000" w:themeColor="text1"/>
              <w:right w:val="single" w:sz="8" w:space="0" w:color="0070C0"/>
            </w:tcBorders>
            <w:shd w:val="clear" w:color="auto" w:fill="0070C0"/>
            <w:vAlign w:val="center"/>
          </w:tcPr>
          <w:p w14:paraId="408E04B3" w14:textId="32563DB1" w:rsidR="00200EE9" w:rsidRPr="00920CDC" w:rsidRDefault="00945B61" w:rsidP="00AC1146">
            <w:pPr>
              <w:pStyle w:val="Prrafodelista"/>
              <w:numPr>
                <w:ilvl w:val="0"/>
                <w:numId w:val="2"/>
              </w:numPr>
              <w:rPr>
                <w:rFonts w:ascii="Tahoma" w:eastAsia="Times New Roman" w:hAnsi="Tahoma" w:cs="Tahoma"/>
                <w:color w:val="FFFFFF" w:themeColor="background1"/>
                <w:kern w:val="0"/>
                <w:lang w:eastAsia="es-ES"/>
                <w14:ligatures w14:val="none"/>
              </w:rPr>
            </w:pPr>
            <w:hyperlink w:anchor="DERECHOSHUMANOS" w:history="1">
              <w:r w:rsidRPr="00920CDC">
                <w:rPr>
                  <w:rStyle w:val="Hipervnculo"/>
                  <w:rFonts w:ascii="Tahoma" w:eastAsia="Times New Roman" w:hAnsi="Tahoma" w:cs="Tahoma"/>
                  <w:b/>
                  <w:bCs/>
                  <w:color w:val="FFFFFF" w:themeColor="background1"/>
                  <w:kern w:val="0"/>
                  <w:lang w:eastAsia="es-ES"/>
                  <w14:ligatures w14:val="none"/>
                </w:rPr>
                <w:t>Derechos humanos</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23572E21" w14:textId="0F9E2625"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47</w:t>
            </w:r>
          </w:p>
        </w:tc>
      </w:tr>
      <w:tr w:rsidR="00200EE9" w:rsidRPr="00BA533C" w14:paraId="78A45E40" w14:textId="77777777" w:rsidTr="00BA533C">
        <w:tc>
          <w:tcPr>
            <w:tcW w:w="7787" w:type="dxa"/>
            <w:tcBorders>
              <w:left w:val="single" w:sz="8" w:space="0" w:color="000000" w:themeColor="text1"/>
              <w:right w:val="single" w:sz="8" w:space="0" w:color="0070C0"/>
            </w:tcBorders>
            <w:shd w:val="clear" w:color="auto" w:fill="0070C0"/>
            <w:vAlign w:val="center"/>
          </w:tcPr>
          <w:p w14:paraId="02D277D4" w14:textId="11128705" w:rsidR="00200EE9" w:rsidRPr="00920CDC" w:rsidRDefault="00945B61" w:rsidP="00AC1146">
            <w:pPr>
              <w:pStyle w:val="Prrafodelista"/>
              <w:numPr>
                <w:ilvl w:val="0"/>
                <w:numId w:val="2"/>
              </w:numPr>
              <w:rPr>
                <w:rFonts w:ascii="Tahoma" w:eastAsia="Times New Roman" w:hAnsi="Tahoma" w:cs="Tahoma"/>
                <w:color w:val="FFFFFF" w:themeColor="background1"/>
                <w:kern w:val="0"/>
                <w:lang w:eastAsia="es-ES"/>
                <w14:ligatures w14:val="none"/>
              </w:rPr>
            </w:pPr>
            <w:hyperlink w:anchor="MARCOESTRATEGICO" w:history="1">
              <w:r w:rsidRPr="00920CDC">
                <w:rPr>
                  <w:rStyle w:val="Hipervnculo"/>
                  <w:rFonts w:ascii="Tahoma" w:eastAsia="Times New Roman" w:hAnsi="Tahoma" w:cs="Tahoma"/>
                  <w:b/>
                  <w:bCs/>
                  <w:color w:val="FFFFFF" w:themeColor="background1"/>
                  <w:kern w:val="0"/>
                  <w:lang w:eastAsia="es-ES"/>
                  <w14:ligatures w14:val="none"/>
                </w:rPr>
                <w:t>Marco Estratégico</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5F4BC3D3" w14:textId="1419FBF9"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54</w:t>
            </w:r>
          </w:p>
        </w:tc>
      </w:tr>
      <w:tr w:rsidR="00200EE9" w:rsidRPr="00BA533C" w14:paraId="4481ED71" w14:textId="77777777" w:rsidTr="00BA533C">
        <w:tc>
          <w:tcPr>
            <w:tcW w:w="7787" w:type="dxa"/>
            <w:tcBorders>
              <w:left w:val="single" w:sz="8" w:space="0" w:color="000000" w:themeColor="text1"/>
              <w:right w:val="single" w:sz="8" w:space="0" w:color="0070C0"/>
            </w:tcBorders>
            <w:shd w:val="clear" w:color="auto" w:fill="0070C0"/>
            <w:vAlign w:val="center"/>
          </w:tcPr>
          <w:p w14:paraId="54C0C3F8" w14:textId="5480C2FD" w:rsidR="00200EE9" w:rsidRPr="00920CDC" w:rsidRDefault="00945B61" w:rsidP="00AC1146">
            <w:pPr>
              <w:pStyle w:val="Prrafodelista"/>
              <w:numPr>
                <w:ilvl w:val="0"/>
                <w:numId w:val="2"/>
              </w:numPr>
              <w:rPr>
                <w:rFonts w:ascii="Tahoma" w:eastAsia="Times New Roman" w:hAnsi="Tahoma" w:cs="Tahoma"/>
                <w:color w:val="FFFFFF" w:themeColor="background1"/>
                <w:kern w:val="0"/>
                <w:lang w:eastAsia="es-ES"/>
                <w14:ligatures w14:val="none"/>
              </w:rPr>
            </w:pPr>
            <w:hyperlink w:anchor="GESTIONINTEGRALDERIESGOS" w:history="1">
              <w:r w:rsidRPr="00920CDC">
                <w:rPr>
                  <w:rStyle w:val="Hipervnculo"/>
                  <w:rFonts w:ascii="Tahoma" w:eastAsia="Times New Roman" w:hAnsi="Tahoma" w:cs="Tahoma"/>
                  <w:b/>
                  <w:bCs/>
                  <w:color w:val="FFFFFF" w:themeColor="background1"/>
                  <w:kern w:val="0"/>
                  <w:lang w:eastAsia="es-ES"/>
                  <w14:ligatures w14:val="none"/>
                </w:rPr>
                <w:t>Gestión Integral de Riesgos</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022AF191" w14:textId="7F641261"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59</w:t>
            </w:r>
          </w:p>
        </w:tc>
      </w:tr>
      <w:tr w:rsidR="00200EE9" w:rsidRPr="00BA533C" w14:paraId="35F7BE8E" w14:textId="77777777" w:rsidTr="00BA533C">
        <w:tc>
          <w:tcPr>
            <w:tcW w:w="7787" w:type="dxa"/>
            <w:tcBorders>
              <w:left w:val="single" w:sz="8" w:space="0" w:color="000000" w:themeColor="text1"/>
              <w:right w:val="single" w:sz="8" w:space="0" w:color="0070C0"/>
            </w:tcBorders>
            <w:shd w:val="clear" w:color="auto" w:fill="0070C0"/>
            <w:vAlign w:val="center"/>
          </w:tcPr>
          <w:p w14:paraId="477ED082" w14:textId="6A8A5C49" w:rsidR="00200EE9" w:rsidRPr="00920CDC" w:rsidRDefault="00945B61" w:rsidP="00AC1146">
            <w:pPr>
              <w:pStyle w:val="Prrafodelista"/>
              <w:numPr>
                <w:ilvl w:val="0"/>
                <w:numId w:val="2"/>
              </w:numPr>
              <w:rPr>
                <w:rFonts w:ascii="Tahoma" w:eastAsia="Times New Roman" w:hAnsi="Tahoma" w:cs="Tahoma"/>
                <w:color w:val="FFFFFF" w:themeColor="background1"/>
                <w:kern w:val="0"/>
                <w:lang w:eastAsia="es-ES"/>
                <w14:ligatures w14:val="none"/>
              </w:rPr>
            </w:pPr>
            <w:hyperlink w:anchor="MATERIALIDAD" w:history="1">
              <w:r w:rsidRPr="00920CDC">
                <w:rPr>
                  <w:rStyle w:val="Hipervnculo"/>
                  <w:rFonts w:ascii="Tahoma" w:eastAsia="Times New Roman" w:hAnsi="Tahoma" w:cs="Tahoma"/>
                  <w:b/>
                  <w:bCs/>
                  <w:color w:val="FFFFFF" w:themeColor="background1"/>
                  <w:kern w:val="0"/>
                  <w:lang w:eastAsia="es-ES"/>
                  <w14:ligatures w14:val="none"/>
                </w:rPr>
                <w:t>Materialidad</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6711EE81" w14:textId="597A30C5" w:rsidR="00200EE9"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75</w:t>
            </w:r>
          </w:p>
        </w:tc>
      </w:tr>
      <w:tr w:rsidR="00945B61" w:rsidRPr="00BA533C" w14:paraId="31DFE4A2" w14:textId="77777777" w:rsidTr="00BA533C">
        <w:tc>
          <w:tcPr>
            <w:tcW w:w="7787" w:type="dxa"/>
            <w:tcBorders>
              <w:left w:val="single" w:sz="8" w:space="0" w:color="000000" w:themeColor="text1"/>
              <w:bottom w:val="single" w:sz="8" w:space="0" w:color="0070C0"/>
              <w:right w:val="single" w:sz="8" w:space="0" w:color="0070C0"/>
            </w:tcBorders>
            <w:shd w:val="clear" w:color="auto" w:fill="203878"/>
            <w:vAlign w:val="center"/>
          </w:tcPr>
          <w:p w14:paraId="475A805A" w14:textId="57268E2B" w:rsidR="00945B61" w:rsidRPr="00BA533C" w:rsidRDefault="00945B61" w:rsidP="00AC1146">
            <w:pPr>
              <w:pStyle w:val="Prrafodelista"/>
              <w:numPr>
                <w:ilvl w:val="0"/>
                <w:numId w:val="2"/>
              </w:numPr>
              <w:rPr>
                <w:rFonts w:ascii="Tahoma" w:eastAsia="Times New Roman" w:hAnsi="Tahoma" w:cs="Tahoma"/>
                <w:b/>
                <w:bCs/>
                <w:color w:val="FFFFFF" w:themeColor="background1"/>
                <w:kern w:val="0"/>
                <w:lang w:eastAsia="es-ES"/>
                <w14:ligatures w14:val="none"/>
              </w:rPr>
            </w:pPr>
            <w:hyperlink w:anchor="ASUNTOSMATERIALES" w:history="1">
              <w:r w:rsidRPr="00BA533C">
                <w:rPr>
                  <w:rStyle w:val="Hipervnculo"/>
                  <w:rFonts w:ascii="Tahoma" w:eastAsia="Times New Roman" w:hAnsi="Tahoma" w:cs="Tahoma"/>
                  <w:b/>
                  <w:bCs/>
                  <w:color w:val="FFFFFF" w:themeColor="background1"/>
                  <w:kern w:val="0"/>
                  <w:lang w:eastAsia="es-ES"/>
                  <w14:ligatures w14:val="none"/>
                </w:rPr>
                <w:t>Asuntos materiales</w:t>
              </w:r>
            </w:hyperlink>
          </w:p>
        </w:tc>
        <w:tc>
          <w:tcPr>
            <w:tcW w:w="1031" w:type="dxa"/>
            <w:tcBorders>
              <w:top w:val="single" w:sz="8" w:space="0" w:color="203878"/>
              <w:left w:val="single" w:sz="8" w:space="0" w:color="0070C0"/>
              <w:bottom w:val="single" w:sz="8" w:space="0" w:color="203878"/>
              <w:right w:val="single" w:sz="8" w:space="0" w:color="000000" w:themeColor="text1"/>
            </w:tcBorders>
            <w:vAlign w:val="center"/>
          </w:tcPr>
          <w:p w14:paraId="75FACEE4" w14:textId="0D949616" w:rsidR="00945B61" w:rsidRPr="00BA533C" w:rsidRDefault="00BA533C" w:rsidP="00FE6655">
            <w:pPr>
              <w:jc w:val="center"/>
              <w:rPr>
                <w:rFonts w:ascii="Tahoma" w:hAnsi="Tahoma" w:cs="Tahoma"/>
                <w:color w:val="000000" w:themeColor="text1"/>
                <w:sz w:val="44"/>
                <w:szCs w:val="44"/>
              </w:rPr>
            </w:pPr>
            <w:r w:rsidRPr="00BA533C">
              <w:rPr>
                <w:rFonts w:ascii="Tahoma" w:hAnsi="Tahoma" w:cs="Tahoma"/>
                <w:color w:val="000000" w:themeColor="text1"/>
                <w:sz w:val="44"/>
                <w:szCs w:val="44"/>
              </w:rPr>
              <w:t>83</w:t>
            </w:r>
          </w:p>
        </w:tc>
      </w:tr>
    </w:tbl>
    <w:p w14:paraId="6071926F" w14:textId="77777777" w:rsidR="0058785D" w:rsidRPr="00BA533C" w:rsidRDefault="0058785D" w:rsidP="003B2010">
      <w:pPr>
        <w:spacing w:after="0" w:line="240" w:lineRule="auto"/>
        <w:rPr>
          <w:rFonts w:ascii="Tahoma" w:eastAsia="Times New Roman" w:hAnsi="Tahoma" w:cs="Tahoma"/>
          <w:color w:val="000000" w:themeColor="text1"/>
          <w:kern w:val="0"/>
          <w:sz w:val="2"/>
          <w:szCs w:val="2"/>
          <w:lang w:eastAsia="es-ES"/>
          <w14:ligatures w14:val="none"/>
        </w:rPr>
      </w:pPr>
    </w:p>
    <w:tbl>
      <w:tblPr>
        <w:tblStyle w:val="Tablaconcuadrcula"/>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firstRow="1" w:lastRow="0" w:firstColumn="1" w:lastColumn="0" w:noHBand="0" w:noVBand="1"/>
      </w:tblPr>
      <w:tblGrid>
        <w:gridCol w:w="7787"/>
        <w:gridCol w:w="1031"/>
      </w:tblGrid>
      <w:tr w:rsidR="00637E5A" w:rsidRPr="00BA533C" w14:paraId="7B9E78B0" w14:textId="77777777" w:rsidTr="00BA533C">
        <w:tc>
          <w:tcPr>
            <w:tcW w:w="7787" w:type="dxa"/>
            <w:tcBorders>
              <w:top w:val="single" w:sz="8" w:space="0" w:color="000000"/>
              <w:left w:val="single" w:sz="8" w:space="0" w:color="000000"/>
              <w:bottom w:val="single" w:sz="8" w:space="0" w:color="000000"/>
              <w:right w:val="single" w:sz="8" w:space="0" w:color="000000"/>
            </w:tcBorders>
            <w:shd w:val="clear" w:color="auto" w:fill="EE691C"/>
            <w:vAlign w:val="center"/>
          </w:tcPr>
          <w:p w14:paraId="348F5F60" w14:textId="26DEBB8E" w:rsidR="003B2010" w:rsidRPr="00BA533C" w:rsidRDefault="003B2010" w:rsidP="00AC1146">
            <w:pPr>
              <w:pStyle w:val="Prrafodelista"/>
              <w:numPr>
                <w:ilvl w:val="0"/>
                <w:numId w:val="2"/>
              </w:numPr>
              <w:rPr>
                <w:rFonts w:ascii="Tahoma" w:eastAsia="Times New Roman" w:hAnsi="Tahoma" w:cs="Tahoma"/>
                <w:b/>
                <w:bCs/>
                <w:color w:val="000000" w:themeColor="text1"/>
                <w:kern w:val="0"/>
                <w:lang w:eastAsia="es-ES"/>
                <w14:ligatures w14:val="none"/>
              </w:rPr>
            </w:pPr>
            <w:hyperlink w:anchor="ASUNTOSMATERIALESECONOMICOS" w:history="1">
              <w:r w:rsidRPr="00BA533C">
                <w:rPr>
                  <w:rStyle w:val="Hipervnculo"/>
                  <w:rFonts w:ascii="Tahoma" w:eastAsia="Times New Roman" w:hAnsi="Tahoma" w:cs="Tahoma"/>
                  <w:b/>
                  <w:bCs/>
                  <w:color w:val="000000" w:themeColor="text1"/>
                  <w:kern w:val="0"/>
                  <w:lang w:eastAsia="es-ES"/>
                  <w14:ligatures w14:val="none"/>
                </w:rPr>
                <w:t>Asuntos Materiales Económicos</w:t>
              </w:r>
            </w:hyperlink>
          </w:p>
        </w:tc>
        <w:tc>
          <w:tcPr>
            <w:tcW w:w="1031" w:type="dxa"/>
            <w:tcBorders>
              <w:top w:val="single" w:sz="8" w:space="0" w:color="000000"/>
              <w:left w:val="single" w:sz="8" w:space="0" w:color="000000"/>
              <w:bottom w:val="single" w:sz="8" w:space="0" w:color="000000"/>
              <w:right w:val="single" w:sz="8" w:space="0" w:color="000000"/>
            </w:tcBorders>
          </w:tcPr>
          <w:p w14:paraId="7B4AB213" w14:textId="1566FF52" w:rsidR="003B2010" w:rsidRPr="00BA533C" w:rsidRDefault="00BA533C" w:rsidP="00BA533C">
            <w:pPr>
              <w:jc w:val="center"/>
              <w:rPr>
                <w:rFonts w:ascii="Tahoma" w:hAnsi="Tahoma" w:cs="Tahoma"/>
                <w:color w:val="000000" w:themeColor="text1"/>
                <w:sz w:val="44"/>
                <w:szCs w:val="44"/>
              </w:rPr>
            </w:pPr>
            <w:r w:rsidRPr="00BA533C">
              <w:rPr>
                <w:rFonts w:ascii="Tahoma" w:hAnsi="Tahoma" w:cs="Tahoma"/>
                <w:color w:val="000000" w:themeColor="text1"/>
                <w:sz w:val="44"/>
                <w:szCs w:val="44"/>
              </w:rPr>
              <w:t>87</w:t>
            </w:r>
          </w:p>
        </w:tc>
      </w:tr>
      <w:tr w:rsidR="003B2010" w:rsidRPr="00BA533C" w14:paraId="712EBFA3" w14:textId="77777777" w:rsidTr="00BA533C">
        <w:tc>
          <w:tcPr>
            <w:tcW w:w="7787" w:type="dxa"/>
            <w:tcBorders>
              <w:top w:val="single" w:sz="8" w:space="0" w:color="000000"/>
              <w:left w:val="single" w:sz="8" w:space="0" w:color="000000"/>
              <w:bottom w:val="single" w:sz="8" w:space="0" w:color="000000"/>
              <w:right w:val="single" w:sz="8" w:space="0" w:color="000000"/>
            </w:tcBorders>
            <w:shd w:val="clear" w:color="auto" w:fill="FFB81D"/>
            <w:vAlign w:val="center"/>
          </w:tcPr>
          <w:p w14:paraId="0700FE11" w14:textId="2213820D" w:rsidR="003B2010" w:rsidRPr="00BA533C" w:rsidRDefault="003B2010" w:rsidP="00AC1146">
            <w:pPr>
              <w:pStyle w:val="Prrafodelista"/>
              <w:numPr>
                <w:ilvl w:val="0"/>
                <w:numId w:val="3"/>
              </w:numPr>
              <w:rPr>
                <w:rFonts w:ascii="Tahoma" w:hAnsi="Tahoma" w:cs="Tahoma"/>
                <w:color w:val="000000" w:themeColor="text1"/>
                <w:lang w:eastAsia="es-ES"/>
              </w:rPr>
            </w:pPr>
            <w:hyperlink w:anchor="ASUNTOSMATERIALESSOCIALES" w:history="1">
              <w:r w:rsidRPr="00BA533C">
                <w:rPr>
                  <w:rStyle w:val="Hipervnculo"/>
                  <w:rFonts w:ascii="Tahoma" w:eastAsia="Times New Roman" w:hAnsi="Tahoma" w:cs="Tahoma"/>
                  <w:b/>
                  <w:bCs/>
                  <w:color w:val="000000" w:themeColor="text1"/>
                  <w:kern w:val="0"/>
                  <w:lang w:eastAsia="es-ES"/>
                  <w14:ligatures w14:val="none"/>
                </w:rPr>
                <w:t>Asuntos Materiales Sociales</w:t>
              </w:r>
            </w:hyperlink>
          </w:p>
        </w:tc>
        <w:tc>
          <w:tcPr>
            <w:tcW w:w="1031" w:type="dxa"/>
            <w:tcBorders>
              <w:top w:val="single" w:sz="8" w:space="0" w:color="000000"/>
              <w:left w:val="single" w:sz="8" w:space="0" w:color="000000"/>
              <w:bottom w:val="single" w:sz="8" w:space="0" w:color="000000"/>
              <w:right w:val="single" w:sz="8" w:space="0" w:color="000000"/>
            </w:tcBorders>
          </w:tcPr>
          <w:p w14:paraId="4C1F8B45" w14:textId="60A509F8" w:rsidR="003B2010" w:rsidRPr="00BA533C" w:rsidRDefault="00BA533C" w:rsidP="00BA533C">
            <w:pPr>
              <w:jc w:val="center"/>
              <w:rPr>
                <w:rFonts w:ascii="Tahoma" w:hAnsi="Tahoma" w:cs="Tahoma"/>
                <w:color w:val="ED691C"/>
                <w:sz w:val="44"/>
                <w:szCs w:val="44"/>
              </w:rPr>
            </w:pPr>
            <w:r w:rsidRPr="00BA533C">
              <w:rPr>
                <w:rFonts w:ascii="Tahoma" w:hAnsi="Tahoma" w:cs="Tahoma"/>
                <w:color w:val="000000" w:themeColor="text1"/>
                <w:sz w:val="44"/>
                <w:szCs w:val="44"/>
              </w:rPr>
              <w:t>95</w:t>
            </w:r>
          </w:p>
        </w:tc>
      </w:tr>
      <w:tr w:rsidR="003B2010" w:rsidRPr="00BA533C" w14:paraId="4A561123" w14:textId="77777777" w:rsidTr="00BA533C">
        <w:tc>
          <w:tcPr>
            <w:tcW w:w="778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1655B5B7" w14:textId="55B46674" w:rsidR="003B2010" w:rsidRPr="00BA533C" w:rsidRDefault="003B2010" w:rsidP="00AC1146">
            <w:pPr>
              <w:pStyle w:val="Prrafodelista"/>
              <w:numPr>
                <w:ilvl w:val="0"/>
                <w:numId w:val="3"/>
              </w:numPr>
              <w:rPr>
                <w:rFonts w:ascii="Tahoma" w:hAnsi="Tahoma" w:cs="Tahoma"/>
                <w:color w:val="000000" w:themeColor="text1"/>
                <w:lang w:eastAsia="es-ES"/>
              </w:rPr>
            </w:pPr>
            <w:hyperlink w:anchor="ASUNTOSMATERIALESAMBIENTALES" w:history="1">
              <w:r w:rsidRPr="00BA533C">
                <w:rPr>
                  <w:rStyle w:val="Hipervnculo"/>
                  <w:rFonts w:ascii="Tahoma" w:eastAsia="Times New Roman" w:hAnsi="Tahoma" w:cs="Tahoma"/>
                  <w:b/>
                  <w:bCs/>
                  <w:color w:val="000000" w:themeColor="text1"/>
                  <w:kern w:val="0"/>
                  <w:lang w:eastAsia="es-ES"/>
                  <w14:ligatures w14:val="none"/>
                </w:rPr>
                <w:t>Asuntos Materiales</w:t>
              </w:r>
              <w:r w:rsidR="00FE6655" w:rsidRPr="00BA533C">
                <w:rPr>
                  <w:rStyle w:val="Hipervnculo"/>
                  <w:rFonts w:ascii="Tahoma" w:eastAsia="Times New Roman" w:hAnsi="Tahoma" w:cs="Tahoma"/>
                  <w:b/>
                  <w:bCs/>
                  <w:color w:val="000000" w:themeColor="text1"/>
                  <w:kern w:val="0"/>
                  <w:lang w:eastAsia="es-ES"/>
                  <w14:ligatures w14:val="none"/>
                </w:rPr>
                <w:t xml:space="preserve"> Ambientales</w:t>
              </w:r>
            </w:hyperlink>
          </w:p>
        </w:tc>
        <w:tc>
          <w:tcPr>
            <w:tcW w:w="1031" w:type="dxa"/>
            <w:tcBorders>
              <w:top w:val="single" w:sz="8" w:space="0" w:color="000000"/>
              <w:left w:val="single" w:sz="8" w:space="0" w:color="000000"/>
              <w:bottom w:val="single" w:sz="8" w:space="0" w:color="000000"/>
              <w:right w:val="single" w:sz="8" w:space="0" w:color="000000"/>
            </w:tcBorders>
          </w:tcPr>
          <w:p w14:paraId="7128EE97" w14:textId="05D06536" w:rsidR="003B2010" w:rsidRPr="00BA533C" w:rsidRDefault="00BA533C" w:rsidP="00BA533C">
            <w:pPr>
              <w:jc w:val="center"/>
              <w:rPr>
                <w:rFonts w:ascii="Tahoma" w:hAnsi="Tahoma" w:cs="Tahoma"/>
                <w:color w:val="ED691C"/>
                <w:sz w:val="44"/>
                <w:szCs w:val="44"/>
              </w:rPr>
            </w:pPr>
            <w:r w:rsidRPr="00BA533C">
              <w:rPr>
                <w:rFonts w:ascii="Tahoma" w:hAnsi="Tahoma" w:cs="Tahoma"/>
                <w:color w:val="000000" w:themeColor="text1"/>
                <w:sz w:val="44"/>
                <w:szCs w:val="44"/>
              </w:rPr>
              <w:t>111</w:t>
            </w:r>
          </w:p>
        </w:tc>
      </w:tr>
      <w:tr w:rsidR="003B2010" w:rsidRPr="00BA533C" w14:paraId="62E58580" w14:textId="77777777" w:rsidTr="00BA533C">
        <w:tc>
          <w:tcPr>
            <w:tcW w:w="7787" w:type="dxa"/>
            <w:tcBorders>
              <w:top w:val="single" w:sz="8" w:space="0" w:color="0070C0"/>
              <w:left w:val="single" w:sz="8" w:space="0" w:color="000000"/>
              <w:bottom w:val="single" w:sz="8" w:space="0" w:color="0070C0"/>
              <w:right w:val="single" w:sz="8" w:space="0" w:color="0070C0"/>
            </w:tcBorders>
            <w:shd w:val="clear" w:color="auto" w:fill="0070C0"/>
            <w:vAlign w:val="center"/>
          </w:tcPr>
          <w:p w14:paraId="223002D5" w14:textId="2CCC8658" w:rsidR="003B2010" w:rsidRPr="00BA533C" w:rsidRDefault="00FE6655" w:rsidP="00AC1146">
            <w:pPr>
              <w:pStyle w:val="Prrafodelista"/>
              <w:numPr>
                <w:ilvl w:val="0"/>
                <w:numId w:val="3"/>
              </w:numPr>
              <w:rPr>
                <w:rFonts w:ascii="Tahoma" w:eastAsia="Times New Roman" w:hAnsi="Tahoma" w:cs="Tahoma"/>
                <w:b/>
                <w:bCs/>
                <w:color w:val="FFFFFF" w:themeColor="background1"/>
                <w:kern w:val="0"/>
                <w:lang w:eastAsia="es-ES"/>
                <w14:ligatures w14:val="none"/>
              </w:rPr>
            </w:pPr>
            <w:hyperlink w:anchor="DESEMPENOECONOMICO" w:history="1">
              <w:r w:rsidRPr="00BA533C">
                <w:rPr>
                  <w:rStyle w:val="Hipervnculo"/>
                  <w:rFonts w:ascii="Tahoma" w:eastAsia="Times New Roman" w:hAnsi="Tahoma" w:cs="Tahoma"/>
                  <w:b/>
                  <w:bCs/>
                  <w:color w:val="FFFFFF" w:themeColor="background1"/>
                  <w:kern w:val="0"/>
                  <w:lang w:eastAsia="es-ES"/>
                  <w14:ligatures w14:val="none"/>
                </w:rPr>
                <w:t>Desempeño Económico</w:t>
              </w:r>
            </w:hyperlink>
          </w:p>
        </w:tc>
        <w:tc>
          <w:tcPr>
            <w:tcW w:w="1031" w:type="dxa"/>
            <w:tcBorders>
              <w:top w:val="single" w:sz="8" w:space="0" w:color="0070C0"/>
              <w:left w:val="single" w:sz="8" w:space="0" w:color="0070C0"/>
              <w:bottom w:val="single" w:sz="8" w:space="0" w:color="0070C0"/>
              <w:right w:val="single" w:sz="8" w:space="0" w:color="000000"/>
            </w:tcBorders>
          </w:tcPr>
          <w:p w14:paraId="26E96572" w14:textId="14E2AF0A" w:rsidR="003B2010" w:rsidRPr="00BA533C" w:rsidRDefault="00BA533C" w:rsidP="00BA533C">
            <w:pPr>
              <w:jc w:val="center"/>
              <w:rPr>
                <w:rFonts w:ascii="Tahoma" w:hAnsi="Tahoma" w:cs="Tahoma"/>
                <w:color w:val="ED691C"/>
                <w:sz w:val="44"/>
                <w:szCs w:val="44"/>
              </w:rPr>
            </w:pPr>
            <w:r w:rsidRPr="00BA533C">
              <w:rPr>
                <w:rFonts w:ascii="Tahoma" w:hAnsi="Tahoma" w:cs="Tahoma"/>
                <w:color w:val="000000" w:themeColor="text1"/>
                <w:sz w:val="44"/>
                <w:szCs w:val="44"/>
              </w:rPr>
              <w:t>132</w:t>
            </w:r>
          </w:p>
        </w:tc>
      </w:tr>
    </w:tbl>
    <w:p w14:paraId="495A4774" w14:textId="37FC5307" w:rsidR="0031711E" w:rsidRDefault="0031711E" w:rsidP="0031711E">
      <w:pPr>
        <w:tabs>
          <w:tab w:val="left" w:pos="5291"/>
        </w:tabs>
        <w:rPr>
          <w:rFonts w:ascii="Tahoma" w:eastAsia="Tahoma" w:hAnsi="Tahoma" w:cs="Tahoma"/>
          <w:b/>
          <w:color w:val="ED691C"/>
          <w:w w:val="105"/>
          <w:kern w:val="0"/>
          <w:sz w:val="48"/>
          <w:szCs w:val="22"/>
          <w:lang w:val="es-MX"/>
          <w14:ligatures w14:val="none"/>
        </w:rPr>
      </w:pPr>
    </w:p>
    <w:p w14:paraId="5237BED4" w14:textId="31A606A9" w:rsidR="00873304" w:rsidRPr="00873304" w:rsidRDefault="00873304" w:rsidP="00873304">
      <w:pPr>
        <w:rPr>
          <w:rFonts w:ascii="Tahoma" w:eastAsia="Tahoma" w:hAnsi="Tahoma" w:cs="Tahoma"/>
          <w:b/>
          <w:color w:val="ED691C"/>
          <w:w w:val="105"/>
          <w:kern w:val="0"/>
          <w:sz w:val="48"/>
          <w:szCs w:val="22"/>
          <w:lang w:val="es-MX"/>
          <w14:ligatures w14:val="none"/>
        </w:rPr>
      </w:pPr>
      <w:r w:rsidRPr="0031711E">
        <w:rPr>
          <w:rFonts w:ascii="Tahoma" w:eastAsia="Tahoma" w:hAnsi="Tahoma" w:cs="Tahoma"/>
          <w:sz w:val="48"/>
          <w:szCs w:val="22"/>
          <w:lang w:val="es-MX"/>
        </w:rPr>
        <w:br w:type="page"/>
      </w:r>
      <w:r w:rsidR="0031711E">
        <w:rPr>
          <w:rFonts w:ascii="Tahoma" w:eastAsia="Tahoma" w:hAnsi="Tahoma" w:cs="Tahoma"/>
          <w:b/>
          <w:noProof/>
          <w:color w:val="ED691C"/>
          <w:w w:val="105"/>
          <w:kern w:val="0"/>
          <w:sz w:val="48"/>
          <w:szCs w:val="22"/>
          <w:lang w:val="es-MX"/>
        </w:rPr>
        <w:lastRenderedPageBreak/>
        <w:drawing>
          <wp:inline distT="0" distB="0" distL="0" distR="0" wp14:anchorId="2E8D9EC5" wp14:editId="30E09DC9">
            <wp:extent cx="5612130" cy="7262495"/>
            <wp:effectExtent l="0" t="0" r="1270" b="1905"/>
            <wp:docPr id="15222656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6566" name="Imagen 1522265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Start w:id="0" w:name="MENSAJE"/>
      <w:bookmarkEnd w:id="0"/>
    </w:p>
    <w:p w14:paraId="7A14B3AC" w14:textId="49B589B4" w:rsidR="00FF1A50" w:rsidRDefault="00FF1A50">
      <w:pPr>
        <w:rPr>
          <w:rFonts w:ascii="Calibri" w:hAnsi="Calibri" w:cs="Calibri"/>
          <w:sz w:val="52"/>
          <w:szCs w:val="52"/>
          <w:lang w:val="es-ES"/>
        </w:rPr>
      </w:pPr>
    </w:p>
    <w:p w14:paraId="68A6EF14" w14:textId="5AB99581" w:rsidR="00B47610" w:rsidRDefault="00B47610">
      <w:pPr>
        <w:rPr>
          <w:rFonts w:ascii="Tahoma" w:eastAsia="Tahoma" w:hAnsi="Tahoma" w:cs="Tahoma"/>
          <w:b/>
          <w:color w:val="44B97B"/>
          <w:w w:val="105"/>
          <w:kern w:val="0"/>
          <w:sz w:val="22"/>
          <w:szCs w:val="22"/>
          <w:lang w:val="es-MX"/>
          <w14:ligatures w14:val="none"/>
        </w:rPr>
        <w:sectPr w:rsidR="00B47610" w:rsidSect="00BA533C">
          <w:headerReference w:type="default" r:id="rId10"/>
          <w:footerReference w:type="default" r:id="rId11"/>
          <w:type w:val="continuous"/>
          <w:pgSz w:w="12240" w:h="15840"/>
          <w:pgMar w:top="1417" w:right="1701" w:bottom="1417" w:left="1701" w:header="708" w:footer="708" w:gutter="0"/>
          <w:pgNumType w:start="1"/>
          <w:cols w:space="708"/>
          <w:titlePg/>
          <w:docGrid w:linePitch="360"/>
        </w:sectPr>
      </w:pPr>
    </w:p>
    <w:p w14:paraId="1E33C572" w14:textId="1DA27BE7" w:rsidR="00D67971" w:rsidRPr="00637E5A" w:rsidRDefault="00D67971" w:rsidP="00415262">
      <w:pPr>
        <w:rPr>
          <w:rFonts w:ascii="Calibri" w:hAnsi="Calibri" w:cs="Calibri"/>
          <w:color w:val="01B140"/>
          <w:sz w:val="52"/>
          <w:szCs w:val="52"/>
          <w:lang w:val="es-ES"/>
        </w:rPr>
        <w:sectPr w:rsidR="00D67971" w:rsidRPr="00637E5A" w:rsidSect="00D67971">
          <w:type w:val="continuous"/>
          <w:pgSz w:w="12240" w:h="15840"/>
          <w:pgMar w:top="1417" w:right="1701" w:bottom="1417" w:left="1701" w:header="708" w:footer="708" w:gutter="0"/>
          <w:cols w:space="708"/>
          <w:titlePg/>
          <w:docGrid w:linePitch="360"/>
        </w:sectPr>
      </w:pPr>
    </w:p>
    <w:p w14:paraId="3031DDB1" w14:textId="1B42684A" w:rsidR="00532683" w:rsidRPr="00C01E80" w:rsidRDefault="00B077DB" w:rsidP="00532683">
      <w:pPr>
        <w:jc w:val="both"/>
        <w:rPr>
          <w:b/>
          <w:bCs/>
          <w:color w:val="0070C0"/>
          <w:sz w:val="40"/>
          <w:szCs w:val="40"/>
        </w:rPr>
      </w:pPr>
      <w:r w:rsidRPr="00C01E80">
        <w:rPr>
          <w:rFonts w:ascii="Tahoma" w:eastAsia="Tahoma" w:hAnsi="Tahoma" w:cs="Tahoma"/>
          <w:b/>
          <w:noProof/>
          <w:color w:val="0070C0"/>
          <w:kern w:val="0"/>
          <w:sz w:val="40"/>
          <w:szCs w:val="40"/>
          <w:lang w:val="es-MX"/>
        </w:rPr>
        <w:lastRenderedPageBreak/>
        <mc:AlternateContent>
          <mc:Choice Requires="wps">
            <w:drawing>
              <wp:anchor distT="0" distB="0" distL="114300" distR="114300" simplePos="0" relativeHeight="251677696" behindDoc="0" locked="0" layoutInCell="1" allowOverlap="1" wp14:anchorId="441E7747" wp14:editId="0417818D">
                <wp:simplePos x="0" y="0"/>
                <wp:positionH relativeFrom="column">
                  <wp:posOffset>-339090</wp:posOffset>
                </wp:positionH>
                <wp:positionV relativeFrom="paragraph">
                  <wp:posOffset>6438900</wp:posOffset>
                </wp:positionV>
                <wp:extent cx="740410" cy="1435100"/>
                <wp:effectExtent l="0" t="0" r="0" b="0"/>
                <wp:wrapNone/>
                <wp:docPr id="1808926005" name="Cuadro de texto 12"/>
                <wp:cNvGraphicFramePr/>
                <a:graphic xmlns:a="http://schemas.openxmlformats.org/drawingml/2006/main">
                  <a:graphicData uri="http://schemas.microsoft.com/office/word/2010/wordprocessingShape">
                    <wps:wsp>
                      <wps:cNvSpPr txBox="1"/>
                      <wps:spPr>
                        <a:xfrm>
                          <a:off x="0" y="0"/>
                          <a:ext cx="740410" cy="1435100"/>
                        </a:xfrm>
                        <a:prstGeom prst="rect">
                          <a:avLst/>
                        </a:prstGeom>
                        <a:noFill/>
                        <a:ln w="6350">
                          <a:noFill/>
                        </a:ln>
                      </wps:spPr>
                      <wps:txbx>
                        <w:txbxContent>
                          <w:p w14:paraId="1BCB5183" w14:textId="6A511FD0" w:rsidR="00B311FB" w:rsidRPr="00B311FB" w:rsidRDefault="00B311FB" w:rsidP="00B311FB">
                            <w:pPr>
                              <w:rPr>
                                <w:color w:val="FFFFFF" w:themeColor="background1"/>
                                <w:sz w:val="136"/>
                                <w:szCs w:val="136"/>
                              </w:rPr>
                            </w:pPr>
                            <w:r w:rsidRPr="00B311FB">
                              <w:rPr>
                                <w:rFonts w:ascii="Tahoma" w:eastAsia="Tahoma" w:hAnsi="Tahoma" w:cs="Tahoma"/>
                                <w:b/>
                                <w:color w:val="FFFFFF" w:themeColor="background1"/>
                                <w:w w:val="105"/>
                                <w:kern w:val="0"/>
                                <w:sz w:val="136"/>
                                <w:szCs w:val="136"/>
                                <w:lang w:val="es-MX"/>
                                <w14:ligatures w14:val="no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1E7747" id="_x0000_t202" coordsize="21600,21600" o:spt="202" path="m,l,21600r21600,l21600,xe">
                <v:stroke joinstyle="miter"/>
                <v:path gradientshapeok="t" o:connecttype="rect"/>
              </v:shapetype>
              <v:shape id="Cuadro de texto 12" o:spid="_x0000_s1026" type="#_x0000_t202" style="position:absolute;left:0;text-align:left;margin-left:-26.7pt;margin-top:507pt;width:58.3pt;height:11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" filled="f" stroked="f" strokeweight=".5pt">
                <v:textbox>
                  <w:txbxContent>
                    <w:p w14:paraId="1BCB5183" w14:textId="6A511FD0" w:rsidR="00B311FB" w:rsidRPr="00B311FB" w:rsidRDefault="00B311FB" w:rsidP="00B311FB">
                      <w:pPr>
                        <w:rPr>
                          <w:color w:val="FFFFFF" w:themeColor="background1"/>
                          <w:sz w:val="136"/>
                          <w:szCs w:val="136"/>
                        </w:rPr>
                      </w:pPr>
                      <w:r w:rsidRPr="00B311FB">
                        <w:rPr>
                          <w:rFonts w:ascii="Tahoma" w:eastAsia="Tahoma" w:hAnsi="Tahoma" w:cs="Tahoma"/>
                          <w:b/>
                          <w:color w:val="FFFFFF" w:themeColor="background1"/>
                          <w:w w:val="105"/>
                          <w:kern w:val="0"/>
                          <w:sz w:val="136"/>
                          <w:szCs w:val="136"/>
                          <w:lang w:val="es-MX"/>
                          <w14:ligatures w14:val="none"/>
                        </w:rPr>
                        <w:t>2</w:t>
                      </w:r>
                    </w:p>
                  </w:txbxContent>
                </v:textbox>
              </v:shape>
            </w:pict>
          </mc:Fallback>
        </mc:AlternateContent>
      </w:r>
      <w:r w:rsidR="00C623A3" w:rsidRPr="00C01E80">
        <w:rPr>
          <w:b/>
          <w:bCs/>
          <w:color w:val="0070C0"/>
          <w:sz w:val="40"/>
          <w:szCs w:val="40"/>
        </w:rPr>
        <w:t>Mensaje a nuestros grupos de interés</w:t>
      </w:r>
    </w:p>
    <w:p w14:paraId="0412937D" w14:textId="77777777" w:rsidR="00532683" w:rsidRPr="00330977" w:rsidRDefault="00532683" w:rsidP="00532683">
      <w:pPr>
        <w:jc w:val="both"/>
      </w:pPr>
      <w:r w:rsidRPr="00330977">
        <w:t xml:space="preserve">Es un </w:t>
      </w:r>
      <w:r>
        <w:t>gusto</w:t>
      </w:r>
      <w:r w:rsidRPr="00330977">
        <w:t xml:space="preserve"> presentar el Informe de Gestión de TRANSELCA correspondiente </w:t>
      </w:r>
      <w:r w:rsidRPr="00A53964">
        <w:t>a</w:t>
      </w:r>
      <w:r>
        <w:t>l año 2024</w:t>
      </w:r>
      <w:r w:rsidRPr="00A53964">
        <w:t>.</w:t>
      </w:r>
      <w:r w:rsidRPr="00330977">
        <w:t xml:space="preserve"> Este documento detalla los logros alcanzados por </w:t>
      </w:r>
      <w:r>
        <w:t>la</w:t>
      </w:r>
      <w:r w:rsidRPr="00330977">
        <w:t xml:space="preserve"> compañía durante </w:t>
      </w:r>
      <w:r>
        <w:t>este periodo</w:t>
      </w:r>
      <w:r w:rsidRPr="00330977">
        <w:t xml:space="preserve">, fruto del esfuerzo y la dedicación de todos </w:t>
      </w:r>
      <w:r>
        <w:t>l</w:t>
      </w:r>
      <w:r w:rsidRPr="00330977">
        <w:t>os equipos de trabajo.</w:t>
      </w:r>
    </w:p>
    <w:p w14:paraId="57B0E120" w14:textId="77777777" w:rsidR="00532683" w:rsidRDefault="00532683" w:rsidP="00532683">
      <w:pPr>
        <w:jc w:val="both"/>
      </w:pPr>
      <w:r w:rsidRPr="00CB0AA7">
        <w:t xml:space="preserve">En este informe, </w:t>
      </w:r>
      <w:r>
        <w:t xml:space="preserve">se </w:t>
      </w:r>
      <w:r w:rsidRPr="00CB0AA7">
        <w:t xml:space="preserve">destaca la solidez y sostenibilidad de los resultados financieros de la empresa. Gracias a una continua y eficiente administración de los recursos y a la optimización de los procesos, en el campo financiero se obtuvo un </w:t>
      </w:r>
      <w:r>
        <w:t>E</w:t>
      </w:r>
      <w:r w:rsidRPr="00CB0AA7">
        <w:t>BITDA de $367.178 millones superando en 5 % al logrado en 2023.  Así mismo, la utilidad neta alcanzada de $ 206.03</w:t>
      </w:r>
      <w:r>
        <w:t>2</w:t>
      </w:r>
      <w:r w:rsidRPr="00CB0AA7">
        <w:t xml:space="preserve"> millones super</w:t>
      </w:r>
      <w:r>
        <w:t>ó</w:t>
      </w:r>
      <w:r w:rsidRPr="00CB0AA7">
        <w:t xml:space="preserve"> en un 3</w:t>
      </w:r>
      <w:r>
        <w:t xml:space="preserve"> </w:t>
      </w:r>
      <w:r w:rsidRPr="00CB0AA7">
        <w:t>% la utilidad del año anterior. Estos conceptos alcanzaron una ejecución frente al presupuesto del año de 102</w:t>
      </w:r>
      <w:r>
        <w:t xml:space="preserve"> </w:t>
      </w:r>
      <w:r w:rsidRPr="00CB0AA7">
        <w:t>% y 113</w:t>
      </w:r>
      <w:r>
        <w:t xml:space="preserve"> </w:t>
      </w:r>
      <w:r w:rsidRPr="00CB0AA7">
        <w:t xml:space="preserve">% respectivamente. </w:t>
      </w:r>
      <w:r>
        <w:t>Es importante</w:t>
      </w:r>
      <w:r w:rsidRPr="00CB0AA7">
        <w:t xml:space="preserve"> </w:t>
      </w:r>
      <w:r>
        <w:t>señalar</w:t>
      </w:r>
      <w:r w:rsidRPr="00CB0AA7">
        <w:t xml:space="preserve"> que estos resultados incluyen el registro de una provisión de cartera por </w:t>
      </w:r>
      <w:r w:rsidRPr="00DE7FBC">
        <w:t>$ 42.088</w:t>
      </w:r>
      <w:r w:rsidRPr="00DE7FBC">
        <w:rPr>
          <w:i/>
          <w:iCs/>
        </w:rPr>
        <w:t xml:space="preserve"> </w:t>
      </w:r>
      <w:r w:rsidRPr="00CB0AA7">
        <w:t>millones</w:t>
      </w:r>
      <w:r>
        <w:t>,</w:t>
      </w:r>
      <w:r w:rsidRPr="00CB0AA7">
        <w:t xml:space="preserve"> consecuencia de la difícil situación financi</w:t>
      </w:r>
      <w:r>
        <w:t>e</w:t>
      </w:r>
      <w:r w:rsidRPr="00CB0AA7">
        <w:t>ra que atraviesan los operadores de red de la región.</w:t>
      </w:r>
    </w:p>
    <w:p w14:paraId="37B963BD" w14:textId="77777777" w:rsidR="00532683" w:rsidRDefault="00532683" w:rsidP="00532683">
      <w:pPr>
        <w:jc w:val="both"/>
      </w:pPr>
      <w:r w:rsidRPr="000F34C4">
        <w:t>TRANSELCA juega un papel fundamental en la garantía de un suministro eléctrico confiable</w:t>
      </w:r>
      <w:r>
        <w:t>,</w:t>
      </w:r>
      <w:r w:rsidRPr="000F34C4">
        <w:t xml:space="preserve"> eficiente</w:t>
      </w:r>
      <w:r>
        <w:t xml:space="preserve"> y</w:t>
      </w:r>
      <w:r w:rsidRPr="002F217E">
        <w:t xml:space="preserve"> </w:t>
      </w:r>
      <w:r w:rsidRPr="000F34C4">
        <w:t>con altos estándares de calidad para millones de colombianos en la Costa Caribe</w:t>
      </w:r>
      <w:r>
        <w:t>.</w:t>
      </w:r>
      <w:r w:rsidRPr="000F34C4">
        <w:t xml:space="preserve"> En </w:t>
      </w:r>
      <w:r>
        <w:t xml:space="preserve">este sentido, </w:t>
      </w:r>
      <w:r w:rsidRPr="000F34C4">
        <w:t xml:space="preserve">la disponibilidad promedio acumulada </w:t>
      </w:r>
      <w:r>
        <w:t xml:space="preserve">de nuestros activos fue </w:t>
      </w:r>
      <w:r w:rsidRPr="000F34C4">
        <w:t>de 99,91</w:t>
      </w:r>
      <w:r>
        <w:t xml:space="preserve"> </w:t>
      </w:r>
      <w:r w:rsidRPr="000F34C4">
        <w:t>%, logrando un 0,36</w:t>
      </w:r>
      <w:r>
        <w:t xml:space="preserve"> </w:t>
      </w:r>
      <w:r w:rsidRPr="000F34C4">
        <w:t>% por encima de la meta de disponibilidad promedio acumulada</w:t>
      </w:r>
      <w:r>
        <w:t>,</w:t>
      </w:r>
      <w:r w:rsidRPr="000F34C4">
        <w:t xml:space="preserve"> establecida en un 99,55</w:t>
      </w:r>
      <w:r>
        <w:t xml:space="preserve"> </w:t>
      </w:r>
      <w:r w:rsidRPr="000F34C4">
        <w:t>%.</w:t>
      </w:r>
      <w:r>
        <w:t xml:space="preserve"> </w:t>
      </w:r>
    </w:p>
    <w:p w14:paraId="5E341EB4" w14:textId="639E9EC1" w:rsidR="00532683" w:rsidRPr="00330977" w:rsidRDefault="00532683" w:rsidP="00532683">
      <w:pPr>
        <w:jc w:val="both"/>
      </w:pPr>
      <w:r>
        <w:t xml:space="preserve">Así mismo, </w:t>
      </w:r>
      <w:r w:rsidRPr="00B6609D">
        <w:t>la Demanda No Atendida (DNA) atribuible a TRANSELCA</w:t>
      </w:r>
      <w:r>
        <w:t xml:space="preserve"> fue</w:t>
      </w:r>
      <w:r w:rsidRPr="00B6609D">
        <w:t xml:space="preserve"> de 4.174,72 MWh, valor equivalente al 0,01</w:t>
      </w:r>
      <w:r>
        <w:t>8</w:t>
      </w:r>
      <w:r w:rsidRPr="00B6609D">
        <w:t xml:space="preserve"> % de la demanda de energía de la Costa Caribe colombiana </w:t>
      </w:r>
      <w:r w:rsidRPr="000F34C4">
        <w:t>en el año 202</w:t>
      </w:r>
      <w:r>
        <w:t>4</w:t>
      </w:r>
      <w:r w:rsidRPr="00B6609D">
        <w:t xml:space="preserve">. De este valor, el 87,69 % correspondió a causas programadas y </w:t>
      </w:r>
      <w:r>
        <w:t xml:space="preserve">sólo </w:t>
      </w:r>
      <w:r w:rsidRPr="00B6609D">
        <w:t>el 12,31 % se debió a salidas forzadas. </w:t>
      </w:r>
      <w:r>
        <w:t xml:space="preserve"> Para </w:t>
      </w:r>
      <w:r w:rsidRPr="00330977">
        <w:t>m</w:t>
      </w:r>
      <w:r>
        <w:t>antener</w:t>
      </w:r>
      <w:r w:rsidRPr="00330977">
        <w:t xml:space="preserve"> la calidad y la confiabilidad de</w:t>
      </w:r>
      <w:r>
        <w:t>l</w:t>
      </w:r>
      <w:r w:rsidRPr="00330977">
        <w:t xml:space="preserve"> </w:t>
      </w:r>
      <w:r w:rsidRPr="00DE7FBC">
        <w:t>servicio la</w:t>
      </w:r>
      <w:r>
        <w:t xml:space="preserve"> empresa ha</w:t>
      </w:r>
      <w:r w:rsidRPr="00330977">
        <w:t xml:space="preserve"> fortalecido </w:t>
      </w:r>
      <w:r>
        <w:t>l</w:t>
      </w:r>
      <w:r w:rsidRPr="00330977">
        <w:t>os sistemas de control y monitoreo</w:t>
      </w:r>
      <w:r>
        <w:t xml:space="preserve"> sobre sus activos</w:t>
      </w:r>
      <w:r w:rsidRPr="00330977">
        <w:t xml:space="preserve">, </w:t>
      </w:r>
      <w:r>
        <w:t xml:space="preserve">con el fin de </w:t>
      </w:r>
      <w:r w:rsidRPr="00330977">
        <w:t>garantiza</w:t>
      </w:r>
      <w:r>
        <w:t>r</w:t>
      </w:r>
      <w:r w:rsidRPr="00330977">
        <w:t xml:space="preserve"> una operación segura y eficiente</w:t>
      </w:r>
      <w:r w:rsidRPr="000F34C4">
        <w:t>.</w:t>
      </w:r>
    </w:p>
    <w:p w14:paraId="108ABF74" w14:textId="25C2099A" w:rsidR="00532683" w:rsidRDefault="00532683" w:rsidP="00532683">
      <w:pPr>
        <w:jc w:val="both"/>
      </w:pPr>
      <w:r>
        <w:t xml:space="preserve">Estos resultados no pueden desconocer la crítica situación del sistema eléctrico en la región, lo que convierte el entorno operativo de TRANSELCA en un desafío, el cual ha llevado a la compañía a plantear internamente el “Plan de Confiabilidad Caribe”. Este plan </w:t>
      </w:r>
      <w:r w:rsidRPr="00276EB3">
        <w:t>busca sensibilizar a l</w:t>
      </w:r>
      <w:r>
        <w:t>os distintos grupos de interés</w:t>
      </w:r>
      <w:r w:rsidRPr="00276EB3">
        <w:t xml:space="preserve"> sobre la necesidad</w:t>
      </w:r>
      <w:r>
        <w:t xml:space="preserve"> de acondicionar e invertir en la mejora, confiabilidad y flexibilidad de las subestaciones acorde a la nueva realidad de la demanda; mitigar los riesgos en zonas de invasión en servidumbres de líneas de alta tensión ocasionados por la ocupación ilegal de estas franjas, que comprometen la integridad de las comunidades allí ubicadas y la prestación del servicio y, finalmente, contar con activos estratégicos de respaldo que puedan brindar una respuesta rápida y oportuna a la atención de la demanda ante cualquier eventualidad.  </w:t>
      </w:r>
    </w:p>
    <w:p w14:paraId="35DF735F" w14:textId="77777777" w:rsidR="00532683" w:rsidRPr="00276EB3" w:rsidRDefault="00532683" w:rsidP="00532683">
      <w:pPr>
        <w:jc w:val="both"/>
      </w:pPr>
      <w:r w:rsidRPr="00276EB3">
        <w:lastRenderedPageBreak/>
        <w:t>A pesar</w:t>
      </w:r>
      <w:r>
        <w:t xml:space="preserve"> de los retos que significa para TRANSELCA mantener sus operaciones en niveles de excelencia y estándares internacionales en el entorno operativo de la Costa Caribe colombiana, la compañía no se detiene y sigue avanzando de la mano de las oportunidades que brinda la transición energética.</w:t>
      </w:r>
    </w:p>
    <w:p w14:paraId="5859E01F" w14:textId="77777777" w:rsidR="00532683" w:rsidRDefault="00532683" w:rsidP="00532683">
      <w:pPr>
        <w:jc w:val="both"/>
      </w:pPr>
      <w:r>
        <w:t xml:space="preserve">TRANSELCA estructuró para ISA en Colombia proyectos de conexiones de energías renovables como Guayepo 3, Parque Atlántico </w:t>
      </w:r>
      <w:r w:rsidRPr="00D8520B">
        <w:rPr>
          <w:i/>
          <w:iCs/>
        </w:rPr>
        <w:t>Photovoltaic</w:t>
      </w:r>
      <w:r>
        <w:t xml:space="preserve"> a la subestación Sabanalarga y los parques solares Valledupar I, II y III a la subestación Valledupar.  De igual manera, logró la puesta en operación de dos proyectos en la Subestación El Copey y en Cerromatoso, de conexión tradicional. </w:t>
      </w:r>
    </w:p>
    <w:p w14:paraId="0AF7F296" w14:textId="77777777" w:rsidR="00532683" w:rsidRPr="000F34C4" w:rsidRDefault="00532683" w:rsidP="00532683">
      <w:pPr>
        <w:jc w:val="both"/>
      </w:pPr>
      <w:r w:rsidRPr="000F34C4">
        <w:t>Gracias a estos avances, TRANSELCA ha contribuido a la estrategia ISA 2030 consolidando importantes resultados en Colombia</w:t>
      </w:r>
      <w:r>
        <w:t>,</w:t>
      </w:r>
      <w:r w:rsidRPr="000F34C4">
        <w:t xml:space="preserve"> superando la meta de inversión esperada en nuevos negocios del año 2024 en un 7</w:t>
      </w:r>
      <w:r>
        <w:t xml:space="preserve"> </w:t>
      </w:r>
      <w:r w:rsidRPr="000F34C4">
        <w:t xml:space="preserve">%.  </w:t>
      </w:r>
    </w:p>
    <w:p w14:paraId="6522187E" w14:textId="77777777" w:rsidR="00532683" w:rsidRPr="000F34C4" w:rsidRDefault="00532683" w:rsidP="00532683">
      <w:pPr>
        <w:jc w:val="both"/>
      </w:pPr>
      <w:r w:rsidRPr="000F34C4">
        <w:t>En la gestión de innovación se logró la implementación de tecnologías de vanguardia</w:t>
      </w:r>
      <w:r>
        <w:t>,</w:t>
      </w:r>
      <w:r w:rsidRPr="000F34C4">
        <w:t xml:space="preserve"> </w:t>
      </w:r>
      <w:r>
        <w:t>como</w:t>
      </w:r>
      <w:r w:rsidRPr="000F34C4">
        <w:t xml:space="preserve"> el uso de inteligencia artificial (IA) en búsqueda de eficiencias en algunos procesos y la puesta en operación del segundo proyecto </w:t>
      </w:r>
      <w:r w:rsidRPr="00D8520B">
        <w:rPr>
          <w:i/>
          <w:iCs/>
        </w:rPr>
        <w:t>SmartValves</w:t>
      </w:r>
      <w:r w:rsidRPr="000F34C4">
        <w:t>, instalando equipos que garantizan que los flujos de energía sean eficientes y equilibrados en las líneas de transmisión.  Este proyecto permit</w:t>
      </w:r>
      <w:r>
        <w:t>e</w:t>
      </w:r>
      <w:r w:rsidRPr="000F34C4">
        <w:t xml:space="preserve"> la conexión de </w:t>
      </w:r>
      <w:r>
        <w:t xml:space="preserve">300 MW adicionales de </w:t>
      </w:r>
      <w:r w:rsidRPr="000F34C4">
        <w:t xml:space="preserve">generación con fuentes no convencionales en la zona de Atlántico, para facilitar así, la transición energética en el país.  </w:t>
      </w:r>
    </w:p>
    <w:p w14:paraId="681275DC" w14:textId="77777777" w:rsidR="00532683" w:rsidRPr="00D7576D" w:rsidRDefault="00532683" w:rsidP="00532683">
      <w:pPr>
        <w:jc w:val="both"/>
      </w:pPr>
      <w:r w:rsidRPr="000F34C4">
        <w:t>Por otra parte, durante el último año, se intensificaron las acciones en materia de sostenibilidad. A través del modelo de Gestión Social “Conexión Desarrollo” se fortalecieron las capacidades e infraestructura de los ecosistemas comunitarios en La Guajira, Cesar y Bolívar, para generar oportunidades de desarrollo en educación, vocaciones productivas,</w:t>
      </w:r>
      <w:r w:rsidRPr="00D7576D">
        <w:t xml:space="preserve"> mejora de estructuras de gobierno</w:t>
      </w:r>
      <w:r>
        <w:t xml:space="preserve"> comunitario</w:t>
      </w:r>
      <w:r w:rsidRPr="00D7576D">
        <w:t xml:space="preserve"> y al mismo tiempo</w:t>
      </w:r>
      <w:r>
        <w:t>,</w:t>
      </w:r>
      <w:r w:rsidRPr="00D7576D">
        <w:t xml:space="preserve"> fortaleciendo el relacionamiento y la confianza</w:t>
      </w:r>
      <w:r>
        <w:t xml:space="preserve"> para</w:t>
      </w:r>
      <w:r w:rsidRPr="00D7576D">
        <w:t xml:space="preserve"> viabiliza</w:t>
      </w:r>
      <w:r>
        <w:t>r</w:t>
      </w:r>
      <w:r w:rsidRPr="00D7576D">
        <w:t xml:space="preserve"> proyectos y las actividades de mantenimiento de la empresa. </w:t>
      </w:r>
    </w:p>
    <w:p w14:paraId="27405BD4" w14:textId="77777777" w:rsidR="00532683" w:rsidRPr="00D7576D" w:rsidRDefault="00532683" w:rsidP="00532683">
      <w:pPr>
        <w:jc w:val="both"/>
      </w:pPr>
      <w:r>
        <w:t>E</w:t>
      </w:r>
      <w:r w:rsidRPr="00D7576D">
        <w:t>n el marco del programa “Conexión Jaguar”</w:t>
      </w:r>
      <w:r>
        <w:t>,</w:t>
      </w:r>
      <w:r w:rsidRPr="00D7576D">
        <w:t xml:space="preserve"> TRANSELCA estableció alianzas con actores relevantes de la </w:t>
      </w:r>
      <w:r>
        <w:t>r</w:t>
      </w:r>
      <w:r w:rsidRPr="00D7576D">
        <w:t xml:space="preserve">egión para desarrollar en los próximos años proyectos que permitan conservar, restaurar y capturar Gases de Efecto Invernadero (GEI). </w:t>
      </w:r>
    </w:p>
    <w:p w14:paraId="6B0FA4DC" w14:textId="77777777" w:rsidR="00532683" w:rsidRDefault="00532683" w:rsidP="00532683">
      <w:pPr>
        <w:jc w:val="both"/>
      </w:pPr>
      <w:r w:rsidRPr="00D7576D">
        <w:t xml:space="preserve">Con relación a la gestión del Talento humano, un hito relevante fue la obtención del Sello Oro Equipares, que evidencia </w:t>
      </w:r>
      <w:r>
        <w:t xml:space="preserve">el </w:t>
      </w:r>
      <w:r w:rsidRPr="00D7576D">
        <w:t>compromiso de la compañía con el mantenimiento de un entorno de trabajo inclusivo y diverso, en el que se valoran las capacidades y el talento de todas las personas</w:t>
      </w:r>
      <w:r>
        <w:t>.</w:t>
      </w:r>
      <w:r w:rsidRPr="00D7576D">
        <w:t xml:space="preserve"> Con esta distinción</w:t>
      </w:r>
      <w:r>
        <w:t>,</w:t>
      </w:r>
      <w:r w:rsidRPr="00D7576D">
        <w:t xml:space="preserve"> TRANSELCA se convierte en la primera empresa de energía eléctrica de la Costa Caribe en alcanzar este reconocimiento.</w:t>
      </w:r>
      <w:r>
        <w:t xml:space="preserve">  </w:t>
      </w:r>
    </w:p>
    <w:p w14:paraId="52348BC0" w14:textId="77777777" w:rsidR="00532683" w:rsidRPr="000573ED" w:rsidRDefault="00532683" w:rsidP="00532683">
      <w:pPr>
        <w:widowControl w:val="0"/>
        <w:autoSpaceDE w:val="0"/>
        <w:autoSpaceDN w:val="0"/>
        <w:adjustRightInd w:val="0"/>
        <w:jc w:val="both"/>
      </w:pPr>
      <w:r w:rsidRPr="000573ED">
        <w:t>De igual manera, con el programa “Conectados con La Vida”</w:t>
      </w:r>
      <w:r>
        <w:t>,</w:t>
      </w:r>
      <w:r w:rsidRPr="000573ED">
        <w:t xml:space="preserve"> que busca aumentar </w:t>
      </w:r>
      <w:r w:rsidRPr="000573ED">
        <w:lastRenderedPageBreak/>
        <w:t xml:space="preserve">la conciencia del autocuidado de los empleados y contratistas, </w:t>
      </w:r>
      <w:r>
        <w:t>la compañía</w:t>
      </w:r>
      <w:r w:rsidRPr="000573ED">
        <w:t xml:space="preserve"> logró</w:t>
      </w:r>
      <w:r>
        <w:t>,</w:t>
      </w:r>
      <w:r w:rsidRPr="000573ED">
        <w:t xml:space="preserve"> una vez más</w:t>
      </w:r>
      <w:r>
        <w:t>,</w:t>
      </w:r>
      <w:r w:rsidRPr="000573ED">
        <w:t xml:space="preserve"> disminuir el valor establecido de tolerancia del Índice de </w:t>
      </w:r>
      <w:r>
        <w:t>A</w:t>
      </w:r>
      <w:r w:rsidRPr="000573ED">
        <w:t xml:space="preserve">ccidentalidad (TRIF) en 2,73 frente </w:t>
      </w:r>
      <w:r>
        <w:t xml:space="preserve">a una tolerancia de </w:t>
      </w:r>
      <w:r w:rsidRPr="000573ED">
        <w:t xml:space="preserve">2,95, </w:t>
      </w:r>
      <w:r>
        <w:t>es decir,</w:t>
      </w:r>
      <w:r w:rsidRPr="000573ED">
        <w:t xml:space="preserve"> un 30</w:t>
      </w:r>
      <w:r>
        <w:t xml:space="preserve"> </w:t>
      </w:r>
      <w:r w:rsidRPr="000573ED">
        <w:t xml:space="preserve">% </w:t>
      </w:r>
      <w:r>
        <w:t>mejor</w:t>
      </w:r>
      <w:r w:rsidRPr="000573ED">
        <w:t xml:space="preserve"> en comparación </w:t>
      </w:r>
      <w:r>
        <w:t>con</w:t>
      </w:r>
      <w:r w:rsidRPr="000573ED">
        <w:t xml:space="preserve"> los resultados del año anterior</w:t>
      </w:r>
      <w:r>
        <w:t>. Así, TRANSELCA se</w:t>
      </w:r>
      <w:r w:rsidRPr="000573ED">
        <w:t xml:space="preserve"> ubica</w:t>
      </w:r>
      <w:r>
        <w:t xml:space="preserve"> </w:t>
      </w:r>
      <w:r w:rsidRPr="000573ED">
        <w:t xml:space="preserve">en un nivel </w:t>
      </w:r>
      <w:r>
        <w:t xml:space="preserve">de </w:t>
      </w:r>
      <w:r w:rsidRPr="000573ED">
        <w:t xml:space="preserve">vanguardia en la cultura de Seguridad y Salud en el Trabajo (SST). </w:t>
      </w:r>
    </w:p>
    <w:p w14:paraId="44E21A18" w14:textId="77777777" w:rsidR="00532683" w:rsidRDefault="00532683" w:rsidP="00532683">
      <w:pPr>
        <w:jc w:val="both"/>
      </w:pPr>
      <w:r>
        <w:t>Para finalizar, TRANSELCA reconoce y agradece el esfuerzo y dedicación de todos los grupos de interés que han permitido cosechar los frutos de</w:t>
      </w:r>
      <w:r w:rsidRPr="00330977">
        <w:t xml:space="preserve"> una gestión responsable</w:t>
      </w:r>
      <w:r>
        <w:t xml:space="preserve"> y</w:t>
      </w:r>
      <w:r w:rsidRPr="00330977">
        <w:t xml:space="preserve"> eficiente</w:t>
      </w:r>
      <w:r>
        <w:t xml:space="preserve"> para</w:t>
      </w:r>
      <w:r w:rsidRPr="00330977">
        <w:t xml:space="preserve"> afrontar los desafíos del futuro con optimismo y confianza</w:t>
      </w:r>
      <w:r>
        <w:t>.</w:t>
      </w:r>
    </w:p>
    <w:p w14:paraId="310FE04A" w14:textId="77777777" w:rsidR="00532683" w:rsidRDefault="00532683" w:rsidP="00532683">
      <w:pPr>
        <w:jc w:val="both"/>
      </w:pPr>
    </w:p>
    <w:p w14:paraId="4877EC4A" w14:textId="491C3AFE" w:rsidR="0031711E" w:rsidRDefault="00B311FB">
      <w:pPr>
        <w:rPr>
          <w:rFonts w:ascii="Calibri" w:hAnsi="Calibri" w:cs="Calibri"/>
          <w:sz w:val="52"/>
          <w:szCs w:val="52"/>
          <w:lang w:val="es-ES"/>
        </w:rPr>
      </w:pPr>
      <w:r>
        <w:rPr>
          <w:rFonts w:ascii="Calibri" w:hAnsi="Calibri" w:cs="Calibri"/>
          <w:sz w:val="52"/>
          <w:szCs w:val="52"/>
          <w:lang w:val="es-ES"/>
        </w:rPr>
        <w:br w:type="page"/>
      </w:r>
      <w:r w:rsidR="0031711E">
        <w:rPr>
          <w:rFonts w:ascii="Calibri" w:hAnsi="Calibri" w:cs="Calibri"/>
          <w:noProof/>
          <w:sz w:val="52"/>
          <w:szCs w:val="52"/>
          <w:lang w:val="es-ES"/>
        </w:rPr>
        <w:lastRenderedPageBreak/>
        <w:drawing>
          <wp:inline distT="0" distB="0" distL="0" distR="0" wp14:anchorId="72718EEF" wp14:editId="481D8E15">
            <wp:extent cx="5612130" cy="7262495"/>
            <wp:effectExtent l="0" t="0" r="1270" b="1905"/>
            <wp:docPr id="162578246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82467" name="Imagen 16257824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Start w:id="1" w:name="PERFILREPORTE"/>
      <w:bookmarkEnd w:id="1"/>
    </w:p>
    <w:p w14:paraId="5935ABC1" w14:textId="586D270E" w:rsidR="00B311FB" w:rsidRDefault="0031711E">
      <w:pPr>
        <w:rPr>
          <w:rFonts w:ascii="Calibri" w:hAnsi="Calibri" w:cs="Calibri"/>
          <w:sz w:val="52"/>
          <w:szCs w:val="52"/>
          <w:lang w:val="es-ES"/>
        </w:rPr>
      </w:pPr>
      <w:r>
        <w:rPr>
          <w:rFonts w:ascii="Calibri" w:hAnsi="Calibri" w:cs="Calibri"/>
          <w:sz w:val="52"/>
          <w:szCs w:val="52"/>
          <w:lang w:val="es-ES"/>
        </w:rPr>
        <w:br w:type="page"/>
      </w:r>
    </w:p>
    <w:p w14:paraId="60D28F9A" w14:textId="230DB3A9" w:rsidR="002E360B" w:rsidRPr="00C01E80" w:rsidRDefault="002E360B" w:rsidP="002E360B">
      <w:pPr>
        <w:rPr>
          <w:rFonts w:ascii="Tahoma" w:eastAsia="Aptos" w:hAnsi="Tahoma" w:cs="Tahoma"/>
          <w:color w:val="0070C0"/>
          <w:kern w:val="0"/>
          <w:sz w:val="40"/>
          <w:szCs w:val="40"/>
          <w:lang w:val="es-ES" w:eastAsia="es-CO"/>
          <w14:ligatures w14:val="none"/>
        </w:rPr>
      </w:pPr>
      <w:r w:rsidRPr="00C01E80">
        <w:rPr>
          <w:rFonts w:ascii="Tahoma" w:eastAsia="Aptos" w:hAnsi="Tahoma" w:cs="Tahoma"/>
          <w:b/>
          <w:color w:val="0070C0"/>
          <w:kern w:val="0"/>
          <w:sz w:val="40"/>
          <w:szCs w:val="40"/>
          <w:lang w:val="es-ES" w:eastAsia="es-CO"/>
          <w14:ligatures w14:val="none"/>
        </w:rPr>
        <w:lastRenderedPageBreak/>
        <w:t>P</w:t>
      </w:r>
      <w:r w:rsidR="007D3796" w:rsidRPr="00C01E80">
        <w:rPr>
          <w:rFonts w:ascii="Tahoma" w:eastAsia="Aptos" w:hAnsi="Tahoma" w:cs="Tahoma"/>
          <w:b/>
          <w:color w:val="0070C0"/>
          <w:kern w:val="0"/>
          <w:sz w:val="40"/>
          <w:szCs w:val="40"/>
          <w:lang w:val="es-ES" w:eastAsia="es-CO"/>
          <w14:ligatures w14:val="none"/>
        </w:rPr>
        <w:t>erfil del reporte </w:t>
      </w:r>
    </w:p>
    <w:p w14:paraId="08DBE655" w14:textId="77777777" w:rsidR="002E360B" w:rsidRPr="00C01E80" w:rsidRDefault="002E360B" w:rsidP="002E360B">
      <w:pPr>
        <w:rPr>
          <w:rFonts w:ascii="Tahoma" w:eastAsia="Aptos" w:hAnsi="Tahoma" w:cs="Tahoma"/>
          <w:color w:val="0070C0"/>
          <w:kern w:val="0"/>
          <w:sz w:val="20"/>
          <w:szCs w:val="20"/>
          <w:lang w:val="es-ES" w:eastAsia="es-CO"/>
          <w14:ligatures w14:val="none"/>
        </w:rPr>
      </w:pPr>
      <w:r w:rsidRPr="00C01E80">
        <w:rPr>
          <w:rFonts w:ascii="Tahoma" w:eastAsia="Aptos" w:hAnsi="Tahoma" w:cs="Tahoma"/>
          <w:b/>
          <w:color w:val="0070C0"/>
          <w:kern w:val="0"/>
          <w:sz w:val="20"/>
          <w:szCs w:val="20"/>
          <w:lang w:val="es-ES" w:eastAsia="es-CO"/>
          <w14:ligatures w14:val="none"/>
        </w:rPr>
        <w:t>GRI 2-2 - GRI 2-3 - GRI 2-4 - GRI 2-5 -GRI 2-14</w:t>
      </w:r>
    </w:p>
    <w:p w14:paraId="7720071E"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El Informe Integrado de Sostenibilidad que anualmente TRANSELCA elabora es el reflejo de ejecutar la estrategia corporativa bajo los principios y políticas de la organización que buscan el equilibrio entre el crecimiento económico y la sostenibilidad ambiental y social.</w:t>
      </w:r>
    </w:p>
    <w:p w14:paraId="22BE0B9A"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 xml:space="preserve">Desde hace siete años TRANSELCA presenta este informe de manera voluntaria y ahora celebramos que en Colombia es un requisito legal para las grandes empresas. </w:t>
      </w:r>
    </w:p>
    <w:p w14:paraId="6FCFD69A" w14:textId="77777777" w:rsidR="002E360B" w:rsidRPr="00C01E80" w:rsidRDefault="002E360B" w:rsidP="002E360B">
      <w:pPr>
        <w:jc w:val="both"/>
        <w:rPr>
          <w:rFonts w:ascii="Tahoma" w:eastAsia="Aptos" w:hAnsi="Tahoma" w:cs="Tahoma"/>
          <w:color w:val="0070C0"/>
          <w:kern w:val="0"/>
          <w:lang w:val="es-ES" w:eastAsia="es-CO"/>
          <w14:ligatures w14:val="none"/>
        </w:rPr>
      </w:pPr>
      <w:r w:rsidRPr="002E360B">
        <w:rPr>
          <w:rFonts w:ascii="Tahoma" w:eastAsia="Aptos" w:hAnsi="Tahoma" w:cs="Tahoma"/>
          <w:kern w:val="0"/>
          <w:lang w:val="es-ES" w:eastAsia="es-CO"/>
          <w14:ligatures w14:val="none"/>
        </w:rPr>
        <w:t xml:space="preserve">Estos años de experiencia en la elaboración del reporte anual nos han permitido afinar las políticas y programas para que los impactos positivos del negocio sean cada vez más significativos para el bienestar de nuestros grupos de interés. </w:t>
      </w:r>
      <w:r w:rsidRPr="00C01E80">
        <w:rPr>
          <w:rFonts w:ascii="Tahoma" w:eastAsia="Aptos" w:hAnsi="Tahoma" w:cs="Tahoma"/>
          <w:b/>
          <w:color w:val="0070C0"/>
          <w:kern w:val="0"/>
          <w:lang w:val="es-ES" w:eastAsia="es-CO"/>
          <w14:ligatures w14:val="none"/>
        </w:rPr>
        <w:t>GRI 2-3. a</w:t>
      </w:r>
    </w:p>
    <w:p w14:paraId="1368D2FA" w14:textId="77777777" w:rsidR="002E360B" w:rsidRPr="00C01E80" w:rsidRDefault="002E360B" w:rsidP="002E360B">
      <w:pPr>
        <w:jc w:val="both"/>
        <w:rPr>
          <w:rFonts w:ascii="Tahoma" w:eastAsia="Aptos" w:hAnsi="Tahoma" w:cs="Tahoma"/>
          <w:color w:val="0070C0"/>
          <w:kern w:val="0"/>
          <w:lang w:val="es-ES" w:eastAsia="es-CO"/>
          <w14:ligatures w14:val="none"/>
        </w:rPr>
      </w:pPr>
      <w:r w:rsidRPr="002E360B">
        <w:rPr>
          <w:rFonts w:ascii="Tahoma" w:eastAsia="Aptos" w:hAnsi="Tahoma" w:cs="Tahoma"/>
          <w:kern w:val="0"/>
          <w:lang w:val="es-ES" w:eastAsia="es-CO"/>
          <w14:ligatures w14:val="none"/>
        </w:rPr>
        <w:t xml:space="preserve">TRANSELCA elaboró este informe conforme a los estándares GRI para el período comprendido entre el 1 de enero y el 31 de diciembre de 2024, el cual se convierte en un canal confiable de comunicación con nuestras partes interesadas para que puedan ser veedores de la gestión de los asuntos materiales que periódicamente se validan con nuestros grupos clave. </w:t>
      </w:r>
      <w:r w:rsidRPr="00C01E80">
        <w:rPr>
          <w:rFonts w:ascii="Tahoma" w:eastAsia="Aptos" w:hAnsi="Tahoma" w:cs="Tahoma"/>
          <w:b/>
          <w:color w:val="0070C0"/>
          <w:kern w:val="0"/>
          <w:lang w:val="es-ES" w:eastAsia="es-CO"/>
          <w14:ligatures w14:val="none"/>
        </w:rPr>
        <w:t>GRI 1, GRI 2-3</w:t>
      </w:r>
    </w:p>
    <w:p w14:paraId="37726C0E" w14:textId="77777777" w:rsidR="002E360B" w:rsidRPr="00C01E80" w:rsidRDefault="002E360B" w:rsidP="002E360B">
      <w:pPr>
        <w:jc w:val="both"/>
        <w:rPr>
          <w:rFonts w:ascii="Tahoma" w:eastAsia="Aptos" w:hAnsi="Tahoma" w:cs="Tahoma"/>
          <w:color w:val="0070C0"/>
          <w:kern w:val="0"/>
          <w:lang w:val="es-ES" w:eastAsia="es-CO"/>
          <w14:ligatures w14:val="none"/>
        </w:rPr>
      </w:pPr>
      <w:r w:rsidRPr="002E360B">
        <w:rPr>
          <w:rFonts w:ascii="Tahoma" w:eastAsia="Aptos" w:hAnsi="Tahoma" w:cs="Tahoma"/>
          <w:kern w:val="0"/>
          <w:lang w:val="es-ES" w:eastAsia="es-CO"/>
          <w14:ligatures w14:val="none"/>
        </w:rPr>
        <w:t xml:space="preserve">A través de este informe nuestras partes interesadas tienen la posibilidad de ampliar la información que sea de su interés escribiendo al siguiente correo: </w:t>
      </w:r>
      <w:hyperlink r:id="rId13">
        <w:r w:rsidRPr="002E360B">
          <w:rPr>
            <w:rFonts w:ascii="Tahoma" w:eastAsia="Aptos" w:hAnsi="Tahoma" w:cs="Tahoma"/>
            <w:color w:val="467886"/>
            <w:kern w:val="0"/>
            <w:u w:val="single"/>
            <w:lang w:val="es-ES" w:eastAsia="es-CO"/>
            <w14:ligatures w14:val="none"/>
          </w:rPr>
          <w:t>ccortina@transelca.com.co</w:t>
        </w:r>
      </w:hyperlink>
      <w:r w:rsidRPr="002E360B">
        <w:rPr>
          <w:rFonts w:ascii="Tahoma" w:eastAsia="Aptos" w:hAnsi="Tahoma" w:cs="Tahoma"/>
          <w:b/>
          <w:kern w:val="0"/>
          <w:lang w:val="es-ES" w:eastAsia="es-CO"/>
          <w14:ligatures w14:val="none"/>
        </w:rPr>
        <w:t xml:space="preserve"> </w:t>
      </w:r>
      <w:r w:rsidRPr="00C01E80">
        <w:rPr>
          <w:rFonts w:ascii="Tahoma" w:eastAsia="Aptos" w:hAnsi="Tahoma" w:cs="Tahoma"/>
          <w:b/>
          <w:color w:val="0070C0"/>
          <w:kern w:val="0"/>
          <w:lang w:val="es-ES" w:eastAsia="es-CO"/>
          <w14:ligatures w14:val="none"/>
        </w:rPr>
        <w:t>GRI 2-3.d</w:t>
      </w:r>
    </w:p>
    <w:p w14:paraId="3BA82782"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 xml:space="preserve">La puntualidad en la publicación anual de este informe en el mes de marzo, en nuestro sitio web, es una muestra más del compromiso de la organización por la sostenibilidad. </w:t>
      </w:r>
      <w:r w:rsidRPr="00C01E80">
        <w:rPr>
          <w:rFonts w:ascii="Tahoma" w:eastAsia="Aptos" w:hAnsi="Tahoma" w:cs="Tahoma"/>
          <w:b/>
          <w:color w:val="0070C0"/>
          <w:kern w:val="0"/>
          <w:lang w:val="es-ES" w:eastAsia="es-CO"/>
          <w14:ligatures w14:val="none"/>
        </w:rPr>
        <w:t>GRI 2-3.c</w:t>
      </w:r>
    </w:p>
    <w:p w14:paraId="3D007893" w14:textId="77777777" w:rsidR="002E360B" w:rsidRPr="00C01E80" w:rsidRDefault="002E360B" w:rsidP="002E360B">
      <w:pPr>
        <w:jc w:val="both"/>
        <w:rPr>
          <w:rFonts w:ascii="Tahoma" w:eastAsia="Aptos" w:hAnsi="Tahoma" w:cs="Tahoma"/>
          <w:color w:val="0070C0"/>
          <w:kern w:val="0"/>
          <w:lang w:val="es-ES" w:eastAsia="es-CO"/>
          <w14:ligatures w14:val="none"/>
        </w:rPr>
      </w:pPr>
      <w:r w:rsidRPr="002E360B">
        <w:rPr>
          <w:rFonts w:ascii="Tahoma" w:eastAsia="Aptos" w:hAnsi="Tahoma" w:cs="Tahoma"/>
          <w:kern w:val="0"/>
          <w:lang w:val="es-ES" w:eastAsia="es-CO"/>
          <w14:ligatures w14:val="none"/>
        </w:rPr>
        <w:t xml:space="preserve">La divulgación de este informe está alineada con la publicación de los informes financieros anuales los cuales se incluyen en el apartado de Desempeño Económico. </w:t>
      </w:r>
      <w:r w:rsidRPr="00C01E80">
        <w:rPr>
          <w:rFonts w:ascii="Tahoma" w:eastAsia="Aptos" w:hAnsi="Tahoma" w:cs="Tahoma"/>
          <w:b/>
          <w:color w:val="0070C0"/>
          <w:kern w:val="0"/>
          <w:lang w:val="es-ES" w:eastAsia="es-CO"/>
          <w14:ligatures w14:val="none"/>
        </w:rPr>
        <w:t>GRI 2-3.b</w:t>
      </w:r>
    </w:p>
    <w:p w14:paraId="561E6AC7" w14:textId="77777777" w:rsidR="002E360B" w:rsidRPr="00C01E80" w:rsidRDefault="002E360B" w:rsidP="002E360B">
      <w:pPr>
        <w:jc w:val="both"/>
        <w:rPr>
          <w:rFonts w:ascii="Tahoma" w:eastAsia="Aptos" w:hAnsi="Tahoma" w:cs="Tahoma"/>
          <w:color w:val="0070C0"/>
          <w:kern w:val="0"/>
          <w:lang w:val="es-ES" w:eastAsia="es-CO"/>
          <w14:ligatures w14:val="none"/>
        </w:rPr>
      </w:pPr>
      <w:r w:rsidRPr="002E360B">
        <w:rPr>
          <w:rFonts w:ascii="Tahoma" w:eastAsia="Aptos" w:hAnsi="Tahoma" w:cs="Tahoma"/>
          <w:kern w:val="0"/>
          <w:lang w:val="es-ES" w:eastAsia="es-CO"/>
          <w14:ligatures w14:val="none"/>
        </w:rPr>
        <w:t xml:space="preserve">La elaboración de este informe está a cargo del área de Planeación Corporativa y su aprobación es responsabilidad de la Junta Directiva que, como máximo órgano de gobierno, tiene la responsabilidad de revisar y verificar la información presentada, incluyendo los temas materiales. Esta labor se realiza en reunión anual con la Junta Directiva. </w:t>
      </w:r>
      <w:r w:rsidRPr="00C01E80">
        <w:rPr>
          <w:rFonts w:ascii="Tahoma" w:eastAsia="Aptos" w:hAnsi="Tahoma" w:cs="Tahoma"/>
          <w:b/>
          <w:color w:val="0070C0"/>
          <w:kern w:val="0"/>
          <w:lang w:val="es-ES" w:eastAsia="es-CO"/>
          <w14:ligatures w14:val="none"/>
        </w:rPr>
        <w:t>GRI 2-14.a</w:t>
      </w:r>
    </w:p>
    <w:p w14:paraId="67F34A27" w14:textId="77777777" w:rsidR="002E360B" w:rsidRPr="002E360B" w:rsidRDefault="002E360B" w:rsidP="002E360B">
      <w:pPr>
        <w:jc w:val="both"/>
        <w:rPr>
          <w:rFonts w:ascii="Tahoma" w:eastAsia="Aptos" w:hAnsi="Tahoma" w:cs="Tahoma"/>
          <w:b/>
          <w:kern w:val="0"/>
          <w:lang w:val="es-ES" w:eastAsia="es-CO"/>
          <w14:ligatures w14:val="none"/>
        </w:rPr>
      </w:pPr>
      <w:r w:rsidRPr="002E360B">
        <w:rPr>
          <w:rFonts w:ascii="Tahoma" w:eastAsia="Aptos" w:hAnsi="Tahoma" w:cs="Tahoma"/>
          <w:kern w:val="0"/>
          <w:lang w:val="es-ES" w:eastAsia="es-CO"/>
          <w14:ligatures w14:val="none"/>
        </w:rPr>
        <w:t xml:space="preserve">Esta responsabilidad incluye asegurar que las prácticas empresariales sean responsables y estén alineadas con los objetivos de desarrollo sostenible, así como evaluar el impacto ambiental de las operaciones, promover iniciativas de </w:t>
      </w:r>
      <w:r w:rsidRPr="002E360B">
        <w:rPr>
          <w:rFonts w:ascii="Tahoma" w:eastAsia="Aptos" w:hAnsi="Tahoma" w:cs="Tahoma"/>
          <w:kern w:val="0"/>
          <w:lang w:val="es-ES" w:eastAsia="es-CO"/>
          <w14:ligatures w14:val="none"/>
        </w:rPr>
        <w:lastRenderedPageBreak/>
        <w:t xml:space="preserve">conservación y uso eficiente de los recursos, y garantizar el cumplimiento normativo y la transparencia en todas las actividades relacionadas con la sostenibilidad. </w:t>
      </w:r>
      <w:r w:rsidRPr="00C01E80">
        <w:rPr>
          <w:rFonts w:ascii="Tahoma" w:eastAsia="Aptos" w:hAnsi="Tahoma" w:cs="Tahoma"/>
          <w:b/>
          <w:color w:val="0070C0"/>
          <w:kern w:val="0"/>
          <w:lang w:val="es-ES" w:eastAsia="es-CO"/>
          <w14:ligatures w14:val="none"/>
        </w:rPr>
        <w:t>GRI 2-14.a</w:t>
      </w:r>
    </w:p>
    <w:p w14:paraId="7B70AFA7"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 xml:space="preserve">La información suministrada por las diferentes áreas para la construcción del informe es previamente validada por Auditoría Interna de TRANSELCA, lo que permite ofrecer una completa confiabilidad de la información. </w:t>
      </w:r>
    </w:p>
    <w:p w14:paraId="2D0F92AE"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El informe no cuenta con una verificación externa puntual ni reexpresiones de datos históricos. Sin embargo, en el informe de ISA y sus empresas KPMG realizó la verificación del reporte de acuerdo con los lineamientos del estándar Global Reporting Initiative (GRI) y de conformidad con las normas ISAE 3000 e ISAE 3410. La firma revisora aseguró la confiabilidad y precisión de la información publicada. GRI 2-4, GRI 2-5</w:t>
      </w:r>
    </w:p>
    <w:p w14:paraId="497ADE2C"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 xml:space="preserve">Este Informe de Sostenibilidad presenta la información de TRANSELCA dado que nuestra organización reporta estados financieros separados porque, aunque tiene inversiones permanentes en las sociedades </w:t>
      </w:r>
      <w:r w:rsidRPr="002E360B">
        <w:rPr>
          <w:rFonts w:ascii="Tahoma" w:eastAsia="Aptos" w:hAnsi="Tahoma" w:cs="Tahoma"/>
          <w:b/>
          <w:kern w:val="0"/>
          <w:lang w:val="es-ES" w:eastAsia="es-CO"/>
          <w14:ligatures w14:val="none"/>
        </w:rPr>
        <w:t>Red de Energía del Perú S.A (REP S.A), ISA Perú S.A</w:t>
      </w:r>
      <w:r w:rsidRPr="002E360B">
        <w:rPr>
          <w:rFonts w:ascii="Tahoma" w:eastAsia="Aptos" w:hAnsi="Tahoma" w:cs="Tahoma"/>
          <w:kern w:val="0"/>
          <w:lang w:val="es-ES" w:eastAsia="es-CO"/>
          <w14:ligatures w14:val="none"/>
        </w:rPr>
        <w:t xml:space="preserve"> e </w:t>
      </w:r>
      <w:r w:rsidRPr="002E360B">
        <w:rPr>
          <w:rFonts w:ascii="Tahoma" w:eastAsia="Aptos" w:hAnsi="Tahoma" w:cs="Tahoma"/>
          <w:b/>
          <w:kern w:val="0"/>
          <w:lang w:val="es-ES" w:eastAsia="es-CO"/>
          <w14:ligatures w14:val="none"/>
        </w:rPr>
        <w:t>ISA Bolivia S.A.,</w:t>
      </w:r>
      <w:r w:rsidRPr="002E360B">
        <w:rPr>
          <w:rFonts w:ascii="Tahoma" w:eastAsia="Aptos" w:hAnsi="Tahoma" w:cs="Tahoma"/>
          <w:kern w:val="0"/>
          <w:lang w:val="es-ES" w:eastAsia="es-CO"/>
          <w14:ligatures w14:val="none"/>
        </w:rPr>
        <w:t xml:space="preserve"> no ejerce control sobre estas compañías.</w:t>
      </w:r>
    </w:p>
    <w:p w14:paraId="09AA2A56"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 xml:space="preserve">La compañía prepara sus estados financieros de acuerdo con las Normas de Contabilidad e Información Financiera aceptadas en Colombia (NCIF) de conformidad con la Ley 1314 de 2009, las cuales se reglamentan, compilan y actualizan por el Decreto 1271 de 2024, Decreto 1611 de 2022, Decreto 938 de 2021, Decreto 1432 de 2020 y anteriores; y demás disposiciones legales vigentes y aplicables a las entidades supervisadas y/o controladas por la Superintendencia Financiera de Colombia y la Contaduría General de la Nación, que pueden diferir en algunos aspectos de los establecidos por otros organismos de control del Estado. </w:t>
      </w:r>
    </w:p>
    <w:p w14:paraId="6026CB61"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Las Normas de Información Financiera Aceptadas en Colombia se basan en las Normas Internacionales de Información Financiera (NIIF) junto con sus interpretaciones traducidas al español, vigentes y emitidas por el Consejo de Normas Internacionales de Contabilidad (IASB), por su sigla en inglés.</w:t>
      </w:r>
    </w:p>
    <w:p w14:paraId="4B553389"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En Red de Energía del Perú S.A. (REP S.A) TRANSELCA posee el 30% del capital de la asociada.</w:t>
      </w:r>
    </w:p>
    <w:p w14:paraId="1EA6ECCF"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En ISA Perú S.A. TRANSELCA posee el 54,84% del capital de esta sociedad.</w:t>
      </w:r>
    </w:p>
    <w:p w14:paraId="04D7731B"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t>Interconexión Eléctrica S.A. E.S.P. ejerce control y presenta estados financieros consolidados de las operaciones de la compañía e Interconexión Eléctrica ISA Perú S.A</w:t>
      </w:r>
    </w:p>
    <w:p w14:paraId="5867853C" w14:textId="77777777" w:rsidR="002E360B" w:rsidRPr="002E360B" w:rsidRDefault="002E360B" w:rsidP="002E360B">
      <w:pPr>
        <w:jc w:val="both"/>
        <w:rPr>
          <w:rFonts w:ascii="Tahoma" w:eastAsia="Aptos" w:hAnsi="Tahoma" w:cs="Tahoma"/>
          <w:kern w:val="0"/>
          <w:lang w:val="es-ES" w:eastAsia="es-CO"/>
          <w14:ligatures w14:val="none"/>
        </w:rPr>
      </w:pPr>
      <w:r w:rsidRPr="002E360B">
        <w:rPr>
          <w:rFonts w:ascii="Tahoma" w:eastAsia="Aptos" w:hAnsi="Tahoma" w:cs="Tahoma"/>
          <w:kern w:val="0"/>
          <w:lang w:val="es-ES" w:eastAsia="es-CO"/>
          <w14:ligatures w14:val="none"/>
        </w:rPr>
        <w:lastRenderedPageBreak/>
        <w:t>En ISA Bolivia TRANSELCA posee el 48,99% del capital de esta sociedad.</w:t>
      </w:r>
    </w:p>
    <w:p w14:paraId="73A3E506" w14:textId="48B97EDA" w:rsidR="00492BD5" w:rsidRDefault="00492BD5" w:rsidP="00415262">
      <w:pPr>
        <w:rPr>
          <w:rFonts w:ascii="Calibri" w:hAnsi="Calibri" w:cs="Calibri"/>
          <w:sz w:val="52"/>
          <w:szCs w:val="52"/>
          <w:lang w:val="es-ES"/>
        </w:rPr>
      </w:pPr>
    </w:p>
    <w:p w14:paraId="5E825310" w14:textId="7B046792" w:rsidR="0031711E" w:rsidRDefault="0031711E" w:rsidP="00415262">
      <w:pPr>
        <w:rPr>
          <w:rFonts w:ascii="Calibri" w:hAnsi="Calibri" w:cs="Calibri"/>
          <w:sz w:val="52"/>
          <w:szCs w:val="52"/>
          <w:lang w:val="es-ES"/>
        </w:rPr>
      </w:pPr>
    </w:p>
    <w:p w14:paraId="51A4FD31" w14:textId="11E69CAB" w:rsidR="00492BD5" w:rsidRDefault="0031711E">
      <w:pPr>
        <w:rPr>
          <w:rFonts w:ascii="Calibri" w:hAnsi="Calibri" w:cs="Calibri"/>
          <w:sz w:val="52"/>
          <w:szCs w:val="52"/>
          <w:lang w:val="es-ES"/>
        </w:rPr>
      </w:pPr>
      <w:r>
        <w:rPr>
          <w:rFonts w:ascii="Calibri" w:hAnsi="Calibri" w:cs="Calibri"/>
          <w:sz w:val="52"/>
          <w:szCs w:val="52"/>
          <w:lang w:val="es-ES"/>
        </w:rPr>
        <w:br w:type="page"/>
      </w:r>
      <w:bookmarkStart w:id="2" w:name="PERFILTRANSELCA"/>
      <w:r w:rsidR="00492BD5">
        <w:rPr>
          <w:rFonts w:ascii="Calibri" w:hAnsi="Calibri" w:cs="Calibri"/>
          <w:noProof/>
          <w:sz w:val="52"/>
          <w:szCs w:val="52"/>
          <w:lang w:val="es-ES"/>
        </w:rPr>
        <w:lastRenderedPageBreak/>
        <w:drawing>
          <wp:inline distT="0" distB="0" distL="0" distR="0" wp14:anchorId="77103750" wp14:editId="6496B04E">
            <wp:extent cx="5612130" cy="7262495"/>
            <wp:effectExtent l="0" t="0" r="1270" b="1905"/>
            <wp:docPr id="390308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0833" name="Imagen 3903083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2"/>
    </w:p>
    <w:p w14:paraId="442ABB2E" w14:textId="11D98C0F" w:rsidR="009F4AB6" w:rsidRPr="00B85891" w:rsidRDefault="00492BD5" w:rsidP="00955EFE">
      <w:pPr>
        <w:rPr>
          <w:rFonts w:asciiTheme="majorHAnsi" w:eastAsia="Aptos" w:hAnsiTheme="majorHAnsi" w:cstheme="majorHAnsi"/>
          <w:b/>
          <w:kern w:val="0"/>
          <w:lang w:val="es-ES" w:eastAsia="es-CO"/>
          <w14:ligatures w14:val="none"/>
        </w:rPr>
      </w:pPr>
      <w:r>
        <w:rPr>
          <w:rFonts w:ascii="Calibri" w:hAnsi="Calibri" w:cs="Calibri"/>
          <w:sz w:val="52"/>
          <w:szCs w:val="52"/>
          <w:lang w:val="es-ES"/>
        </w:rPr>
        <w:br w:type="page"/>
      </w:r>
    </w:p>
    <w:p w14:paraId="0B8A5F63" w14:textId="5FB22878" w:rsidR="008F77D6" w:rsidRPr="00C01E80" w:rsidRDefault="008F77D6" w:rsidP="008F77D6">
      <w:pPr>
        <w:rPr>
          <w:rFonts w:ascii="Tahoma" w:eastAsia="Aptos" w:hAnsi="Tahoma" w:cs="Tahoma"/>
          <w:color w:val="0070C0"/>
          <w:kern w:val="0"/>
          <w:sz w:val="36"/>
          <w:szCs w:val="36"/>
          <w:lang w:val="es-ES" w:eastAsia="es-CO"/>
          <w14:ligatures w14:val="none"/>
        </w:rPr>
      </w:pPr>
      <w:r w:rsidRPr="00C01E80">
        <w:rPr>
          <w:rFonts w:ascii="Tahoma" w:eastAsia="Aptos" w:hAnsi="Tahoma" w:cs="Tahoma"/>
          <w:b/>
          <w:color w:val="0070C0"/>
          <w:kern w:val="0"/>
          <w:sz w:val="36"/>
          <w:szCs w:val="36"/>
          <w:lang w:val="es-ES" w:eastAsia="es-CO"/>
          <w14:ligatures w14:val="none"/>
        </w:rPr>
        <w:lastRenderedPageBreak/>
        <w:t>TRANSELCA en cifras y datos relevantes</w:t>
      </w:r>
    </w:p>
    <w:p w14:paraId="567A16DB"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99,91 %</w:t>
      </w:r>
      <w:r w:rsidRPr="008F77D6">
        <w:rPr>
          <w:rFonts w:ascii="Tahoma" w:eastAsia="Aptos" w:hAnsi="Tahoma" w:cs="Tahoma"/>
          <w:color w:val="000000" w:themeColor="text1"/>
          <w:kern w:val="0"/>
          <w:lang w:val="es-ES" w:eastAsia="es-CO"/>
          <w14:ligatures w14:val="none"/>
        </w:rPr>
        <w:t xml:space="preserve"> Disponibilidad promedio acumulada</w:t>
      </w:r>
    </w:p>
    <w:p w14:paraId="24CBAAC0"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rial" w:hAnsi="Tahoma" w:cs="Tahoma"/>
          <w:color w:val="000000" w:themeColor="text1"/>
          <w:kern w:val="0"/>
          <w:lang w:val="es-ES" w:eastAsia="es-CO"/>
          <w14:ligatures w14:val="none"/>
        </w:rPr>
        <w:t xml:space="preserve">96,20 </w:t>
      </w:r>
      <w:r w:rsidRPr="008F77D6">
        <w:rPr>
          <w:rFonts w:ascii="Tahoma" w:eastAsia="Aptos" w:hAnsi="Tahoma" w:cs="Tahoma"/>
          <w:b/>
          <w:color w:val="000000" w:themeColor="text1"/>
          <w:kern w:val="0"/>
          <w:lang w:val="es-ES" w:eastAsia="es-CO"/>
          <w14:ligatures w14:val="none"/>
        </w:rPr>
        <w:t>%</w:t>
      </w:r>
      <w:r w:rsidRPr="008F77D6">
        <w:rPr>
          <w:rFonts w:ascii="Tahoma" w:eastAsia="Aptos" w:hAnsi="Tahoma" w:cs="Tahoma"/>
          <w:color w:val="000000" w:themeColor="text1"/>
          <w:kern w:val="0"/>
          <w:lang w:val="es-ES" w:eastAsia="es-CO"/>
          <w14:ligatures w14:val="none"/>
        </w:rPr>
        <w:t xml:space="preserve"> del cumplimiento del plan anual de mantenimiento</w:t>
      </w:r>
    </w:p>
    <w:p w14:paraId="34623D66"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Menos del 1 %</w:t>
      </w:r>
      <w:r w:rsidRPr="008F77D6">
        <w:rPr>
          <w:rFonts w:ascii="Tahoma" w:eastAsia="Aptos" w:hAnsi="Tahoma" w:cs="Tahoma"/>
          <w:color w:val="000000" w:themeColor="text1"/>
          <w:kern w:val="0"/>
          <w:lang w:val="es-ES" w:eastAsia="es-CO"/>
          <w14:ligatures w14:val="none"/>
        </w:rPr>
        <w:t xml:space="preserve"> de equipos cuestionados. *El valor más bajo en los </w:t>
      </w:r>
      <w:sdt>
        <w:sdtPr>
          <w:rPr>
            <w:rFonts w:ascii="Tahoma" w:eastAsia="Aptos" w:hAnsi="Tahoma" w:cs="Tahoma"/>
            <w:color w:val="000000" w:themeColor="text1"/>
            <w:kern w:val="0"/>
            <w:lang w:val="es-ES" w:eastAsia="es-CO"/>
            <w14:ligatures w14:val="none"/>
          </w:rPr>
          <w:tag w:val="goog_rdk_0"/>
          <w:id w:val="1686327255"/>
        </w:sdtPr>
        <w:sdtEndPr/>
        <w:sdtContent/>
      </w:sdt>
      <w:r w:rsidRPr="008F77D6">
        <w:rPr>
          <w:rFonts w:ascii="Tahoma" w:eastAsia="Aptos" w:hAnsi="Tahoma" w:cs="Tahoma"/>
          <w:color w:val="000000" w:themeColor="text1"/>
          <w:kern w:val="0"/>
          <w:lang w:val="es-ES" w:eastAsia="es-CO"/>
          <w14:ligatures w14:val="none"/>
        </w:rPr>
        <w:t>últimos años</w:t>
      </w:r>
    </w:p>
    <w:p w14:paraId="37DA4DFE"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color w:val="000000" w:themeColor="text1"/>
          <w:kern w:val="0"/>
          <w:lang w:val="es-ES" w:eastAsia="es-CO"/>
          <w14:ligatures w14:val="none"/>
        </w:rPr>
        <w:t>367.178 millones EBITDA. *superando en 5 % el logrado en 2023</w:t>
      </w:r>
    </w:p>
    <w:p w14:paraId="4CEEDE3E"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color w:val="000000" w:themeColor="text1"/>
          <w:kern w:val="0"/>
          <w:lang w:val="es-ES" w:eastAsia="es-CO"/>
          <w14:ligatures w14:val="none"/>
        </w:rPr>
        <w:t>$ 206.032 millones de pesos de utilidad neta, superando en un 3 % la utilidad del año anterior</w:t>
      </w:r>
      <w:r w:rsidRPr="008F77D6">
        <w:rPr>
          <w:rFonts w:ascii="Tahoma" w:eastAsia="Aptos" w:hAnsi="Tahoma" w:cs="Tahoma"/>
          <w:b/>
          <w:color w:val="000000" w:themeColor="text1"/>
          <w:kern w:val="0"/>
          <w:lang w:val="es-ES" w:eastAsia="es-CO"/>
          <w14:ligatures w14:val="none"/>
        </w:rPr>
        <w:t>.</w:t>
      </w:r>
    </w:p>
    <w:p w14:paraId="2ECCF5FE"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 xml:space="preserve">USD 37.5 MM </w:t>
      </w:r>
      <w:r w:rsidRPr="008F77D6">
        <w:rPr>
          <w:rFonts w:ascii="Tahoma" w:eastAsia="Aptos" w:hAnsi="Tahoma" w:cs="Tahoma"/>
          <w:color w:val="000000" w:themeColor="text1"/>
          <w:kern w:val="0"/>
          <w:lang w:val="es-ES" w:eastAsia="es-CO"/>
          <w14:ligatures w14:val="none"/>
        </w:rPr>
        <w:t>de inversión</w:t>
      </w:r>
      <w:r w:rsidRPr="008F77D6">
        <w:rPr>
          <w:rFonts w:ascii="Tahoma" w:eastAsia="Aptos" w:hAnsi="Tahoma" w:cs="Tahoma"/>
          <w:b/>
          <w:color w:val="000000" w:themeColor="text1"/>
          <w:kern w:val="0"/>
          <w:lang w:val="es-ES" w:eastAsia="es-CO"/>
          <w14:ligatures w14:val="none"/>
        </w:rPr>
        <w:t xml:space="preserve"> </w:t>
      </w:r>
      <w:r w:rsidRPr="008F77D6">
        <w:rPr>
          <w:rFonts w:ascii="Tahoma" w:eastAsia="Aptos" w:hAnsi="Tahoma" w:cs="Tahoma"/>
          <w:color w:val="000000" w:themeColor="text1"/>
          <w:kern w:val="0"/>
          <w:lang w:val="es-ES" w:eastAsia="es-CO"/>
          <w14:ligatures w14:val="none"/>
        </w:rPr>
        <w:t>logrando la meta de inversión establecida entre USD 35 MM – USD 45 MM </w:t>
      </w:r>
    </w:p>
    <w:p w14:paraId="0805CC65"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 xml:space="preserve">En 50 % </w:t>
      </w:r>
      <w:r w:rsidRPr="008F77D6">
        <w:rPr>
          <w:rFonts w:ascii="Tahoma" w:eastAsia="Aptos" w:hAnsi="Tahoma" w:cs="Tahoma"/>
          <w:color w:val="000000" w:themeColor="text1"/>
          <w:kern w:val="0"/>
          <w:lang w:val="es-ES" w:eastAsia="es-CO"/>
          <w14:ligatures w14:val="none"/>
        </w:rPr>
        <w:t>se superó la meta de inversión en nuevos negocios</w:t>
      </w:r>
    </w:p>
    <w:p w14:paraId="617EFE3B"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 xml:space="preserve">50 % </w:t>
      </w:r>
      <w:r w:rsidRPr="008F77D6">
        <w:rPr>
          <w:rFonts w:ascii="Tahoma" w:eastAsia="Aptos" w:hAnsi="Tahoma" w:cs="Tahoma"/>
          <w:color w:val="000000" w:themeColor="text1"/>
          <w:kern w:val="0"/>
          <w:lang w:val="es-ES" w:eastAsia="es-CO"/>
          <w14:ligatures w14:val="none"/>
        </w:rPr>
        <w:t>de</w:t>
      </w:r>
      <w:r w:rsidRPr="008F77D6">
        <w:rPr>
          <w:rFonts w:ascii="Tahoma" w:eastAsia="Aptos" w:hAnsi="Tahoma" w:cs="Tahoma"/>
          <w:b/>
          <w:color w:val="000000" w:themeColor="text1"/>
          <w:kern w:val="0"/>
          <w:lang w:val="es-ES" w:eastAsia="es-CO"/>
          <w14:ligatures w14:val="none"/>
        </w:rPr>
        <w:t xml:space="preserve"> </w:t>
      </w:r>
      <w:r w:rsidRPr="008F77D6">
        <w:rPr>
          <w:rFonts w:ascii="Tahoma" w:eastAsia="Aptos" w:hAnsi="Tahoma" w:cs="Tahoma"/>
          <w:color w:val="000000" w:themeColor="text1"/>
          <w:kern w:val="0"/>
          <w:lang w:val="es-ES" w:eastAsia="es-CO"/>
          <w14:ligatures w14:val="none"/>
        </w:rPr>
        <w:t>disminución de las fugas de FS6 en comparación con 2023, consolidando una tendencia positiva desde 2020. </w:t>
      </w:r>
    </w:p>
    <w:p w14:paraId="5FEBF878"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85 % se mantuvo el nivel d</w:t>
      </w:r>
      <w:r w:rsidRPr="008F77D6">
        <w:rPr>
          <w:rFonts w:ascii="Tahoma" w:eastAsia="Aptos" w:hAnsi="Tahoma" w:cs="Tahoma"/>
          <w:color w:val="000000" w:themeColor="text1"/>
          <w:kern w:val="0"/>
          <w:lang w:val="es-ES" w:eastAsia="es-CO"/>
          <w14:ligatures w14:val="none"/>
        </w:rPr>
        <w:t>e favorabilidad en el clima laboral</w:t>
      </w:r>
    </w:p>
    <w:p w14:paraId="7AA80807"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86,5 %</w:t>
      </w:r>
      <w:r w:rsidRPr="008F77D6">
        <w:rPr>
          <w:rFonts w:ascii="Tahoma" w:eastAsia="Aptos" w:hAnsi="Tahoma" w:cs="Tahoma"/>
          <w:color w:val="000000" w:themeColor="text1"/>
          <w:kern w:val="0"/>
          <w:lang w:val="es-ES" w:eastAsia="es-CO"/>
          <w14:ligatures w14:val="none"/>
        </w:rPr>
        <w:t xml:space="preserve"> de favorabilidad en la encuesta de satisfacción de clientes</w:t>
      </w:r>
    </w:p>
    <w:p w14:paraId="1B48FF17"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rial" w:hAnsi="Tahoma" w:cs="Tahoma"/>
          <w:color w:val="000000" w:themeColor="text1"/>
          <w:kern w:val="0"/>
          <w:lang w:val="es-ES" w:eastAsia="es-CO"/>
          <w14:ligatures w14:val="none"/>
        </w:rPr>
        <w:t>La demanda no atendida fue de 4174.72 MWh, valor equivalente al 0.018% de la demanda de energía en el año 2024. </w:t>
      </w:r>
    </w:p>
    <w:p w14:paraId="5A6EC349"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 xml:space="preserve">Certificación Sello Oro Equipares. </w:t>
      </w:r>
      <w:r w:rsidRPr="008F77D6">
        <w:rPr>
          <w:rFonts w:ascii="Tahoma" w:eastAsia="Aptos" w:hAnsi="Tahoma" w:cs="Tahoma"/>
          <w:color w:val="000000" w:themeColor="text1"/>
          <w:kern w:val="0"/>
          <w:lang w:val="es-ES" w:eastAsia="es-CO"/>
          <w14:ligatures w14:val="none"/>
        </w:rPr>
        <w:t>Primera empresa de energía eléctrica de la Costa Caribe en alcanzar este reconocimiento.</w:t>
      </w:r>
    </w:p>
    <w:p w14:paraId="6646AE9E" w14:textId="77777777" w:rsidR="008F77D6" w:rsidRPr="008F77D6" w:rsidRDefault="008F77D6" w:rsidP="00164509">
      <w:pPr>
        <w:numPr>
          <w:ilvl w:val="0"/>
          <w:numId w:val="131"/>
        </w:numPr>
        <w:rPr>
          <w:rFonts w:ascii="Tahoma" w:eastAsia="Aptos" w:hAnsi="Tahoma" w:cs="Tahoma"/>
          <w:color w:val="000000" w:themeColor="text1"/>
          <w:kern w:val="0"/>
          <w:lang w:val="es-ES" w:eastAsia="es-CO"/>
          <w14:ligatures w14:val="none"/>
        </w:rPr>
      </w:pPr>
      <w:r w:rsidRPr="00AC3D7C">
        <w:rPr>
          <w:rFonts w:ascii="Tahoma" w:eastAsia="Aptos" w:hAnsi="Tahoma" w:cs="Tahoma"/>
          <w:b/>
          <w:bCs/>
          <w:color w:val="000000" w:themeColor="text1"/>
          <w:kern w:val="0"/>
          <w:lang w:val="es-ES" w:eastAsia="es-CO"/>
          <w14:ligatures w14:val="none"/>
        </w:rPr>
        <w:t>Certificaciones en los cuatro componentes del Sistema Integrado de Gestión (SIG):</w:t>
      </w:r>
      <w:r w:rsidRPr="008F77D6">
        <w:rPr>
          <w:rFonts w:ascii="Tahoma" w:eastAsia="Aptos" w:hAnsi="Tahoma" w:cs="Tahoma"/>
          <w:color w:val="000000" w:themeColor="text1"/>
          <w:kern w:val="0"/>
          <w:lang w:val="es-ES" w:eastAsia="es-CO"/>
          <w14:ligatures w14:val="none"/>
        </w:rPr>
        <w:t xml:space="preserve"> Gestión de Calidad ISO 9001, Gestión ambiental ISO 14001, Gestión de Activos ISO 55001 y Seguridad y salud en el trabajo a ISO 45001, con un alto desempeño en el cumplimiento de los objetivos</w:t>
      </w:r>
      <w:r w:rsidRPr="008F77D6">
        <w:rPr>
          <w:rFonts w:ascii="Tahoma" w:eastAsia="Arial" w:hAnsi="Tahoma" w:cs="Tahoma"/>
          <w:color w:val="000000" w:themeColor="text1"/>
          <w:kern w:val="0"/>
          <w:lang w:val="es-ES" w:eastAsia="es-CO"/>
          <w14:ligatures w14:val="none"/>
        </w:rPr>
        <w:t xml:space="preserve"> definidos en el sistema.</w:t>
      </w:r>
    </w:p>
    <w:p w14:paraId="35837BE3" w14:textId="77777777" w:rsidR="00AC3D7C" w:rsidRPr="00AC3D7C" w:rsidRDefault="008F77D6" w:rsidP="00164509">
      <w:pPr>
        <w:numPr>
          <w:ilvl w:val="0"/>
          <w:numId w:val="131"/>
        </w:numPr>
        <w:jc w:val="both"/>
        <w:rPr>
          <w:rFonts w:ascii="Tahoma" w:eastAsia="Aptos" w:hAnsi="Tahoma" w:cs="Tahoma"/>
          <w:b/>
          <w:color w:val="000000" w:themeColor="text1"/>
          <w:kern w:val="0"/>
          <w:lang w:val="es-ES" w:eastAsia="es-CO"/>
          <w14:ligatures w14:val="none"/>
        </w:rPr>
      </w:pPr>
      <w:r w:rsidRPr="008F77D6">
        <w:rPr>
          <w:rFonts w:ascii="Tahoma" w:eastAsia="Aptos" w:hAnsi="Tahoma" w:cs="Tahoma"/>
          <w:b/>
          <w:color w:val="000000" w:themeColor="text1"/>
          <w:kern w:val="0"/>
          <w:lang w:val="es-ES" w:eastAsia="es-CO"/>
          <w14:ligatures w14:val="none"/>
        </w:rPr>
        <w:t xml:space="preserve">85 % </w:t>
      </w:r>
      <w:r w:rsidRPr="008F77D6">
        <w:rPr>
          <w:rFonts w:ascii="Tahoma" w:eastAsia="Aptos" w:hAnsi="Tahoma" w:cs="Tahoma"/>
          <w:color w:val="000000" w:themeColor="text1"/>
          <w:kern w:val="0"/>
          <w:lang w:val="es-ES" w:eastAsia="es-CO"/>
          <w14:ligatures w14:val="none"/>
        </w:rPr>
        <w:t>en nivel de madurez vanguardista</w:t>
      </w:r>
      <w:r w:rsidRPr="008F77D6">
        <w:rPr>
          <w:rFonts w:ascii="Tahoma" w:eastAsia="Aptos" w:hAnsi="Tahoma" w:cs="Tahoma"/>
          <w:b/>
          <w:color w:val="000000" w:themeColor="text1"/>
          <w:kern w:val="0"/>
          <w:lang w:val="es-ES" w:eastAsia="es-CO"/>
          <w14:ligatures w14:val="none"/>
        </w:rPr>
        <w:t xml:space="preserve"> </w:t>
      </w:r>
      <w:r w:rsidRPr="008F77D6">
        <w:rPr>
          <w:rFonts w:ascii="Tahoma" w:eastAsia="Aptos" w:hAnsi="Tahoma" w:cs="Tahoma"/>
          <w:color w:val="000000" w:themeColor="text1"/>
          <w:kern w:val="0"/>
          <w:lang w:val="es-ES" w:eastAsia="es-CO"/>
          <w14:ligatures w14:val="none"/>
        </w:rPr>
        <w:t>en Salud y Seguridad en el trabajo</w:t>
      </w:r>
      <w:r w:rsidR="00AC3D7C">
        <w:rPr>
          <w:rFonts w:ascii="Tahoma" w:eastAsia="Aptos" w:hAnsi="Tahoma" w:cs="Tahoma"/>
          <w:color w:val="000000" w:themeColor="text1"/>
          <w:kern w:val="0"/>
          <w:lang w:val="es-ES" w:eastAsia="es-CO"/>
          <w14:ligatures w14:val="none"/>
        </w:rPr>
        <w:t>.</w:t>
      </w:r>
    </w:p>
    <w:p w14:paraId="40A5E134" w14:textId="70B9358B" w:rsidR="008F77D6" w:rsidRDefault="008F77D6" w:rsidP="00C01E80">
      <w:pPr>
        <w:ind w:left="720"/>
        <w:jc w:val="both"/>
        <w:rPr>
          <w:rFonts w:ascii="Tahoma" w:eastAsia="Aptos" w:hAnsi="Tahoma" w:cs="Tahoma"/>
          <w:color w:val="000000" w:themeColor="text1"/>
          <w:kern w:val="0"/>
          <w:lang w:val="es-ES" w:eastAsia="es-CO"/>
          <w14:ligatures w14:val="none"/>
        </w:rPr>
      </w:pPr>
    </w:p>
    <w:p w14:paraId="442D6915" w14:textId="77777777" w:rsidR="00C01E80" w:rsidRDefault="00C01E80" w:rsidP="00C01E80">
      <w:pPr>
        <w:ind w:left="720"/>
        <w:jc w:val="both"/>
        <w:rPr>
          <w:rFonts w:ascii="Tahoma" w:eastAsia="Aptos" w:hAnsi="Tahoma" w:cs="Tahoma"/>
          <w:color w:val="000000" w:themeColor="text1"/>
          <w:kern w:val="0"/>
          <w:lang w:val="es-ES" w:eastAsia="es-CO"/>
          <w14:ligatures w14:val="none"/>
        </w:rPr>
      </w:pPr>
    </w:p>
    <w:p w14:paraId="352B7ECF" w14:textId="77777777" w:rsidR="00C01E80" w:rsidRPr="008F77D6" w:rsidRDefault="00C01E80" w:rsidP="00C01E80">
      <w:pPr>
        <w:ind w:left="720"/>
        <w:jc w:val="both"/>
        <w:rPr>
          <w:rFonts w:ascii="Tahoma" w:eastAsia="Aptos" w:hAnsi="Tahoma" w:cs="Tahoma"/>
          <w:b/>
          <w:color w:val="000000" w:themeColor="text1"/>
          <w:kern w:val="0"/>
          <w:lang w:val="es-ES" w:eastAsia="es-CO"/>
          <w14:ligatures w14:val="none"/>
        </w:rPr>
      </w:pPr>
    </w:p>
    <w:p w14:paraId="33C6F588" w14:textId="77777777" w:rsidR="008F77D6" w:rsidRDefault="008F77D6" w:rsidP="00955EFE">
      <w:pPr>
        <w:rPr>
          <w:rFonts w:ascii="Tahoma" w:eastAsia="Aptos" w:hAnsi="Tahoma" w:cs="Tahoma"/>
          <w:b/>
          <w:kern w:val="0"/>
          <w:sz w:val="36"/>
          <w:szCs w:val="40"/>
          <w:lang w:val="es-ES" w:eastAsia="es-CO"/>
          <w14:ligatures w14:val="none"/>
        </w:rPr>
      </w:pPr>
    </w:p>
    <w:p w14:paraId="5803031F" w14:textId="290CFA66" w:rsidR="0020124C" w:rsidRPr="00C01E80" w:rsidRDefault="009F4AB6" w:rsidP="00955EFE">
      <w:pPr>
        <w:rPr>
          <w:rFonts w:ascii="Tahoma" w:eastAsia="Aptos" w:hAnsi="Tahoma" w:cs="Tahoma"/>
          <w:color w:val="0070C0"/>
          <w:kern w:val="0"/>
          <w:sz w:val="36"/>
          <w:szCs w:val="40"/>
          <w:lang w:val="es-ES" w:eastAsia="es-CO"/>
          <w14:ligatures w14:val="none"/>
        </w:rPr>
      </w:pPr>
      <w:r w:rsidRPr="00C01E80">
        <w:rPr>
          <w:rFonts w:ascii="Tahoma" w:eastAsia="Aptos" w:hAnsi="Tahoma" w:cs="Tahoma"/>
          <w:b/>
          <w:color w:val="0070C0"/>
          <w:kern w:val="0"/>
          <w:sz w:val="36"/>
          <w:szCs w:val="40"/>
          <w:lang w:val="es-ES" w:eastAsia="es-CO"/>
          <w14:ligatures w14:val="none"/>
        </w:rPr>
        <w:lastRenderedPageBreak/>
        <w:t>S</w:t>
      </w:r>
      <w:r w:rsidR="00BB244B" w:rsidRPr="00C01E80">
        <w:rPr>
          <w:rFonts w:ascii="Tahoma" w:eastAsia="Aptos" w:hAnsi="Tahoma" w:cs="Tahoma"/>
          <w:b/>
          <w:color w:val="0070C0"/>
          <w:kern w:val="0"/>
          <w:sz w:val="36"/>
          <w:szCs w:val="40"/>
          <w:lang w:val="es-ES" w:eastAsia="es-CO"/>
          <w14:ligatures w14:val="none"/>
        </w:rPr>
        <w:t>obre</w:t>
      </w:r>
      <w:r w:rsidR="0020124C" w:rsidRPr="00C01E80">
        <w:rPr>
          <w:rFonts w:ascii="Tahoma" w:eastAsia="Aptos" w:hAnsi="Tahoma" w:cs="Tahoma"/>
          <w:b/>
          <w:color w:val="0070C0"/>
          <w:kern w:val="0"/>
          <w:sz w:val="36"/>
          <w:szCs w:val="40"/>
          <w:lang w:val="es-ES" w:eastAsia="es-CO"/>
          <w14:ligatures w14:val="none"/>
        </w:rPr>
        <w:t xml:space="preserve"> TRANSELCA</w:t>
      </w:r>
    </w:p>
    <w:p w14:paraId="069B98E0" w14:textId="77777777" w:rsidR="0020124C" w:rsidRPr="00C01E80" w:rsidRDefault="0020124C" w:rsidP="0020124C">
      <w:pPr>
        <w:rPr>
          <w:rFonts w:ascii="Tahoma" w:eastAsia="Aptos" w:hAnsi="Tahoma" w:cs="Tahoma"/>
          <w:color w:val="0070C0"/>
          <w:kern w:val="0"/>
          <w:sz w:val="20"/>
          <w:szCs w:val="20"/>
          <w:lang w:val="es-ES" w:eastAsia="es-CO"/>
          <w14:ligatures w14:val="none"/>
        </w:rPr>
      </w:pPr>
      <w:r w:rsidRPr="00C01E80">
        <w:rPr>
          <w:rFonts w:ascii="Tahoma" w:eastAsia="Aptos" w:hAnsi="Tahoma" w:cs="Tahoma"/>
          <w:b/>
          <w:color w:val="0070C0"/>
          <w:kern w:val="0"/>
          <w:sz w:val="20"/>
          <w:szCs w:val="20"/>
          <w:lang w:val="es-ES" w:eastAsia="es-CO"/>
          <w14:ligatures w14:val="none"/>
        </w:rPr>
        <w:t>GRI 2-1 </w:t>
      </w:r>
    </w:p>
    <w:p w14:paraId="1A449056" w14:textId="77777777" w:rsidR="0020124C" w:rsidRPr="0020124C" w:rsidRDefault="0020124C" w:rsidP="0020124C">
      <w:pPr>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TRANSELCA, empresa de ISA ofrece servicios de transporte de energía eléctrica de alta tensión, conexiones al Sistema Interconectado Nacional y Soluciones Energéticas Distribuidas (SED) en Colombia. Tiene inversiones permanentes en el exterior en las sociedades Red de Energía del Perú S.A (REP S.A), ISA Perú S.A e ISA Bolivia S.A. en el sector de transporte de energía.</w:t>
      </w:r>
    </w:p>
    <w:p w14:paraId="5361E73E" w14:textId="77777777" w:rsidR="0020124C" w:rsidRPr="0020124C" w:rsidRDefault="0020124C" w:rsidP="0020124C">
      <w:pPr>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En 2024</w:t>
      </w:r>
      <w:r w:rsidRPr="0020124C">
        <w:rPr>
          <w:rFonts w:ascii="Tahoma" w:eastAsia="Aptos" w:hAnsi="Tahoma" w:cs="Tahoma"/>
          <w:b/>
          <w:kern w:val="0"/>
          <w:lang w:val="es-ES" w:eastAsia="es-CO"/>
          <w14:ligatures w14:val="none"/>
        </w:rPr>
        <w:t xml:space="preserve"> TRANSELCA amplió su portafolio de servicios ofreciendo Soluciones Energéticas Distribuidas (SED) para apalancar la transición energética en Colombia con soluciones de bajas emisiones.</w:t>
      </w:r>
    </w:p>
    <w:p w14:paraId="6DF1119C" w14:textId="77777777" w:rsidR="0020124C" w:rsidRPr="0020124C" w:rsidRDefault="0020124C" w:rsidP="0020124C">
      <w:pPr>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En su sede administrativa, ubicada en el municipio de Puerto Colombia, Atlántico, realiza procesos administrativos y de planeación. Allí también está el Centro de Control, dotado con tecnología de última generación y que controla un equipo humano experto en realizar tareas de operación y supervisión de los equipos 24/7 durante todo el año. </w:t>
      </w:r>
    </w:p>
    <w:p w14:paraId="543D7094" w14:textId="77777777" w:rsidR="0020124C" w:rsidRPr="0020124C" w:rsidRDefault="0020124C" w:rsidP="0020124C">
      <w:pPr>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Gracias a esto TRANSELCA está en la capacidad de suministrar al país un servicio confiable, permanente y seguro.</w:t>
      </w:r>
    </w:p>
    <w:p w14:paraId="5414AE9D" w14:textId="77777777" w:rsidR="0020124C" w:rsidRPr="0020124C" w:rsidRDefault="0020124C" w:rsidP="0020124C">
      <w:pPr>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 xml:space="preserve">TRANSELCA hace presencia en 34 municipios de la región Caribe colombiana a través de </w:t>
      </w:r>
      <w:r w:rsidRPr="00C01E80">
        <w:rPr>
          <w:rFonts w:ascii="Tahoma" w:eastAsia="Aptos" w:hAnsi="Tahoma" w:cs="Tahoma"/>
          <w:b/>
          <w:bCs/>
          <w:color w:val="0070C0"/>
          <w:kern w:val="0"/>
          <w:lang w:val="es-ES" w:eastAsia="es-CO"/>
          <w14:ligatures w14:val="none"/>
        </w:rPr>
        <w:t>GRI 2-1</w:t>
      </w:r>
      <w:r w:rsidRPr="00C01E80">
        <w:rPr>
          <w:rFonts w:ascii="Tahoma" w:eastAsia="Aptos" w:hAnsi="Tahoma" w:cs="Tahoma"/>
          <w:color w:val="0070C0"/>
          <w:kern w:val="0"/>
          <w:lang w:val="es-ES" w:eastAsia="es-CO"/>
          <w14:ligatures w14:val="none"/>
        </w:rPr>
        <w:t> </w:t>
      </w:r>
    </w:p>
    <w:p w14:paraId="387B9680"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16 subestaciones </w:t>
      </w:r>
    </w:p>
    <w:p w14:paraId="784981B1"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1 sede administrativa </w:t>
      </w:r>
    </w:p>
    <w:p w14:paraId="3701514C"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1 almacén</w:t>
      </w:r>
    </w:p>
    <w:p w14:paraId="48989CF6"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1.593,93 km de líneas de transmisión </w:t>
      </w:r>
    </w:p>
    <w:p w14:paraId="21CA66BB"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p>
    <w:p w14:paraId="6CD3D3D8" w14:textId="5B38DE61" w:rsidR="0020124C" w:rsidRPr="00846C12" w:rsidRDefault="0020124C" w:rsidP="0020124C">
      <w:pPr>
        <w:jc w:val="both"/>
        <w:rPr>
          <w:rFonts w:ascii="Tahoma" w:eastAsia="Aptos" w:hAnsi="Tahoma" w:cs="Tahoma"/>
          <w:color w:val="0070C0"/>
          <w:kern w:val="0"/>
          <w:sz w:val="36"/>
          <w:szCs w:val="36"/>
          <w:lang w:val="es-ES" w:eastAsia="es-CO"/>
          <w14:ligatures w14:val="none"/>
        </w:rPr>
      </w:pPr>
      <w:r w:rsidRPr="00846C12">
        <w:rPr>
          <w:rFonts w:ascii="Tahoma" w:eastAsia="Aptos" w:hAnsi="Tahoma" w:cs="Tahoma"/>
          <w:b/>
          <w:color w:val="0070C0"/>
          <w:kern w:val="0"/>
          <w:sz w:val="36"/>
          <w:szCs w:val="36"/>
          <w:lang w:val="es-ES" w:eastAsia="es-CO"/>
          <w14:ligatures w14:val="none"/>
        </w:rPr>
        <w:t>S</w:t>
      </w:r>
      <w:r w:rsidR="00BB244B" w:rsidRPr="00846C12">
        <w:rPr>
          <w:rFonts w:ascii="Tahoma" w:eastAsia="Aptos" w:hAnsi="Tahoma" w:cs="Tahoma"/>
          <w:b/>
          <w:color w:val="0070C0"/>
          <w:kern w:val="0"/>
          <w:sz w:val="36"/>
          <w:szCs w:val="36"/>
          <w:lang w:val="es-ES" w:eastAsia="es-CO"/>
          <w14:ligatures w14:val="none"/>
        </w:rPr>
        <w:t>obre</w:t>
      </w:r>
      <w:r w:rsidRPr="00846C12">
        <w:rPr>
          <w:rFonts w:ascii="Tahoma" w:eastAsia="Aptos" w:hAnsi="Tahoma" w:cs="Tahoma"/>
          <w:b/>
          <w:color w:val="0070C0"/>
          <w:kern w:val="0"/>
          <w:sz w:val="36"/>
          <w:szCs w:val="36"/>
          <w:lang w:val="es-ES" w:eastAsia="es-CO"/>
          <w14:ligatures w14:val="none"/>
        </w:rPr>
        <w:t xml:space="preserve"> ISA </w:t>
      </w:r>
    </w:p>
    <w:p w14:paraId="5EADBF98" w14:textId="3B3FEBC3" w:rsidR="001C10DC" w:rsidRPr="001C10DC" w:rsidRDefault="001C10DC" w:rsidP="001C10DC">
      <w:pPr>
        <w:jc w:val="both"/>
        <w:rPr>
          <w:rFonts w:ascii="Tahoma" w:eastAsia="Aptos" w:hAnsi="Tahoma" w:cs="Tahoma"/>
          <w:kern w:val="0"/>
          <w:lang w:eastAsia="es-CO"/>
          <w14:ligatures w14:val="none"/>
        </w:rPr>
      </w:pPr>
      <w:r w:rsidRPr="001C10DC">
        <w:rPr>
          <w:rFonts w:ascii="Tahoma" w:eastAsia="Aptos" w:hAnsi="Tahoma" w:cs="Tahoma"/>
          <w:kern w:val="0"/>
          <w:lang w:eastAsia="es-CO"/>
          <w14:ligatures w14:val="none"/>
        </w:rPr>
        <w:t xml:space="preserve">ISA es una empresa de servicios públicos mixta, constituida como sociedad anónima por acciones, de carácter comercial, del orden nacional, regida por las leyes 142 y 143 de 1994 y con domicilio en la ciudad de Medellín (Colombia). Ecopetrol es el accionista mayoritario o controlante de ISA, al ser titular del 51,41 % del capital social. </w:t>
      </w:r>
    </w:p>
    <w:p w14:paraId="4A9C1DF2" w14:textId="77777777" w:rsidR="001C10DC" w:rsidRPr="001C10DC" w:rsidRDefault="001C10DC" w:rsidP="001C10DC">
      <w:pPr>
        <w:jc w:val="both"/>
        <w:rPr>
          <w:rFonts w:ascii="Tahoma" w:eastAsia="Aptos" w:hAnsi="Tahoma" w:cs="Tahoma"/>
          <w:kern w:val="0"/>
          <w:lang w:eastAsia="es-CO"/>
          <w14:ligatures w14:val="none"/>
        </w:rPr>
      </w:pPr>
      <w:r w:rsidRPr="001C10DC">
        <w:rPr>
          <w:rFonts w:ascii="Tahoma" w:eastAsia="Aptos" w:hAnsi="Tahoma" w:cs="Tahoma"/>
          <w:kern w:val="0"/>
          <w:lang w:eastAsia="es-CO"/>
          <w14:ligatures w14:val="none"/>
        </w:rPr>
        <w:t xml:space="preserve">La compañía tiene inversionistas estatales y privados. Sus acciones y bonos se transan en la Bolsa de Valores de Colombia y cuenta con American Depositary Receipt (ADR) Nivel I que se negocian en el mercado Over the Counter (OTC) de Estados Unidos. Todas las acciones constitutivas del capital social gozan de los mismos derechos, son ordinarias, nominativas y desmaterializadas, no existiendo restricciones estatutarias a su </w:t>
      </w:r>
    </w:p>
    <w:p w14:paraId="55212A4F" w14:textId="6235A87A" w:rsidR="0020124C" w:rsidRPr="0020124C" w:rsidRDefault="001C10DC" w:rsidP="001C10DC">
      <w:pPr>
        <w:jc w:val="both"/>
        <w:rPr>
          <w:rFonts w:ascii="Tahoma" w:eastAsia="Aptos" w:hAnsi="Tahoma" w:cs="Tahoma"/>
          <w:kern w:val="0"/>
          <w:lang w:val="es-ES" w:eastAsia="es-CO"/>
          <w14:ligatures w14:val="none"/>
        </w:rPr>
      </w:pPr>
      <w:r w:rsidRPr="001C10DC">
        <w:rPr>
          <w:rFonts w:ascii="Tahoma" w:eastAsia="Aptos" w:hAnsi="Tahoma" w:cs="Tahoma"/>
          <w:kern w:val="0"/>
          <w:lang w:eastAsia="es-CO"/>
          <w14:ligatures w14:val="none"/>
        </w:rPr>
        <w:lastRenderedPageBreak/>
        <w:t>transferibilidad. ISA aplica altos estándares de transparencia, eficiencia y gobierno corporativo que brindan protección y confianza a sus inversionistas.</w:t>
      </w:r>
    </w:p>
    <w:p w14:paraId="746101AC" w14:textId="77777777" w:rsidR="0020124C" w:rsidRPr="00846C12" w:rsidRDefault="0020124C" w:rsidP="0020124C">
      <w:pPr>
        <w:jc w:val="both"/>
        <w:rPr>
          <w:rFonts w:ascii="Tahoma" w:eastAsia="Aptos" w:hAnsi="Tahoma" w:cs="Tahoma"/>
          <w:b/>
          <w:color w:val="0070C0"/>
          <w:kern w:val="0"/>
          <w:lang w:val="es-ES" w:eastAsia="es-CO"/>
          <w14:ligatures w14:val="none"/>
        </w:rPr>
      </w:pPr>
      <w:r w:rsidRPr="00846C12">
        <w:rPr>
          <w:rFonts w:ascii="Tahoma" w:eastAsia="Aptos" w:hAnsi="Tahoma" w:cs="Tahoma"/>
          <w:b/>
          <w:color w:val="0070C0"/>
          <w:kern w:val="0"/>
          <w:sz w:val="32"/>
          <w:lang w:val="es-ES" w:eastAsia="es-CO"/>
          <w14:ligatures w14:val="none"/>
        </w:rPr>
        <w:t>1998</w:t>
      </w:r>
    </w:p>
    <w:p w14:paraId="488A0FAE" w14:textId="77777777" w:rsidR="0020124C" w:rsidRPr="0020124C" w:rsidRDefault="0020124C" w:rsidP="0020124C">
      <w:pPr>
        <w:spacing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TRANSELCA fue la primera empresa de ISA que se constituyó en una compañía</w:t>
      </w:r>
    </w:p>
    <w:p w14:paraId="73886B23" w14:textId="77777777" w:rsidR="0020124C" w:rsidRPr="0020124C" w:rsidRDefault="0020124C" w:rsidP="0020124C">
      <w:pPr>
        <w:spacing w:line="240" w:lineRule="auto"/>
        <w:jc w:val="both"/>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de servicios públicos de carácter mixto, establecida como sociedad anónima por acciones de carácter comercial del orden nacional, con sede y operación en Colombia.</w:t>
      </w:r>
    </w:p>
    <w:p w14:paraId="53831141" w14:textId="77777777" w:rsidR="0020124C" w:rsidRPr="0020124C" w:rsidRDefault="0020124C" w:rsidP="0020124C">
      <w:pPr>
        <w:spacing w:after="0" w:line="240" w:lineRule="auto"/>
        <w:jc w:val="both"/>
        <w:rPr>
          <w:rFonts w:ascii="Tahoma" w:eastAsia="Aptos" w:hAnsi="Tahoma" w:cs="Tahoma"/>
          <w:kern w:val="0"/>
          <w:lang w:val="es-ES" w:eastAsia="es-CO"/>
          <w14:ligatures w14:val="none"/>
        </w:rPr>
      </w:pPr>
    </w:p>
    <w:p w14:paraId="6639C7E6" w14:textId="77777777" w:rsidR="0020124C" w:rsidRPr="0020124C" w:rsidRDefault="0020124C" w:rsidP="0020124C">
      <w:pPr>
        <w:spacing w:after="0" w:line="240" w:lineRule="auto"/>
        <w:jc w:val="both"/>
        <w:rPr>
          <w:rFonts w:ascii="Tahoma" w:eastAsia="Aptos" w:hAnsi="Tahoma" w:cs="Tahoma"/>
          <w:b/>
          <w:kern w:val="0"/>
          <w:lang w:val="es-ES" w:eastAsia="es-CO"/>
          <w14:ligatures w14:val="none"/>
        </w:rPr>
      </w:pPr>
      <w:r w:rsidRPr="0020124C">
        <w:rPr>
          <w:rFonts w:ascii="Tahoma" w:eastAsia="Aptos" w:hAnsi="Tahoma" w:cs="Tahoma"/>
          <w:b/>
          <w:kern w:val="0"/>
          <w:lang w:val="es-ES" w:eastAsia="es-CO"/>
          <w14:ligatures w14:val="none"/>
        </w:rPr>
        <w:t>Tabla de participación accionaria</w:t>
      </w:r>
    </w:p>
    <w:p w14:paraId="51B6A1DD" w14:textId="77777777" w:rsidR="0020124C" w:rsidRPr="0020124C" w:rsidRDefault="0020124C" w:rsidP="0020124C">
      <w:pPr>
        <w:spacing w:after="0" w:line="240" w:lineRule="auto"/>
        <w:rPr>
          <w:rFonts w:ascii="Tahoma" w:eastAsia="Aptos" w:hAnsi="Tahoma" w:cs="Tahoma"/>
          <w:kern w:val="0"/>
          <w:lang w:val="es-ES" w:eastAsia="es-CO"/>
          <w14:ligatures w14:val="none"/>
        </w:rPr>
      </w:pPr>
      <w:r w:rsidRPr="0020124C">
        <w:rPr>
          <w:rFonts w:ascii="Tahoma" w:eastAsia="Aptos" w:hAnsi="Tahoma" w:cs="Tahoma"/>
          <w:b/>
          <w:noProof/>
          <w:color w:val="FF0000"/>
          <w:kern w:val="0"/>
          <w:lang w:eastAsia="es-CO"/>
          <w14:ligatures w14:val="none"/>
        </w:rPr>
        <w:drawing>
          <wp:inline distT="0" distB="0" distL="0" distR="0" wp14:anchorId="0573F486" wp14:editId="4C7874D9">
            <wp:extent cx="5400040" cy="2752090"/>
            <wp:effectExtent l="0" t="0" r="0" b="0"/>
            <wp:docPr id="8449269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400040" cy="2752090"/>
                    </a:xfrm>
                    <a:prstGeom prst="rect">
                      <a:avLst/>
                    </a:prstGeom>
                    <a:ln/>
                  </pic:spPr>
                </pic:pic>
              </a:graphicData>
            </a:graphic>
          </wp:inline>
        </w:drawing>
      </w:r>
    </w:p>
    <w:p w14:paraId="666C76EC" w14:textId="77777777" w:rsidR="0020124C" w:rsidRPr="0020124C" w:rsidRDefault="0020124C" w:rsidP="0020124C">
      <w:pPr>
        <w:rPr>
          <w:rFonts w:ascii="Tahoma" w:eastAsia="Aptos" w:hAnsi="Tahoma" w:cs="Tahoma"/>
          <w:kern w:val="0"/>
          <w:lang w:val="es-ES" w:eastAsia="es-CO"/>
          <w14:ligatures w14:val="none"/>
        </w:rPr>
      </w:pPr>
    </w:p>
    <w:p w14:paraId="6A1B1B31"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b/>
          <w:kern w:val="0"/>
          <w:lang w:val="es-ES" w:eastAsia="es-CO"/>
          <w14:ligatures w14:val="none"/>
        </w:rPr>
        <w:t>Accionista: Interconexión Eléctrica S.A E.S.P.</w:t>
      </w:r>
    </w:p>
    <w:p w14:paraId="2CEF1060"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NIT: 860.016.610-3</w:t>
      </w:r>
    </w:p>
    <w:p w14:paraId="6A540A17"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No. acciones: 1.809.715.305</w:t>
      </w:r>
    </w:p>
    <w:p w14:paraId="3513FEAE"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Porcentaje: 99.99867091358%</w:t>
      </w:r>
    </w:p>
    <w:p w14:paraId="5B1E2962" w14:textId="77777777" w:rsidR="0020124C" w:rsidRPr="0020124C" w:rsidRDefault="0020124C" w:rsidP="0020124C">
      <w:pPr>
        <w:rPr>
          <w:rFonts w:ascii="Tahoma" w:eastAsia="Aptos" w:hAnsi="Tahoma" w:cs="Tahoma"/>
          <w:b/>
          <w:kern w:val="0"/>
          <w:lang w:val="es-ES" w:eastAsia="es-CO"/>
          <w14:ligatures w14:val="none"/>
        </w:rPr>
      </w:pPr>
    </w:p>
    <w:p w14:paraId="2F267C14"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b/>
          <w:kern w:val="0"/>
          <w:lang w:val="es-ES" w:eastAsia="es-CO"/>
          <w14:ligatures w14:val="none"/>
        </w:rPr>
        <w:t>Accionista: Enel Colombia S.A. E.S.P.</w:t>
      </w:r>
    </w:p>
    <w:p w14:paraId="7272DF2F"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NIT: 860.063.875-8</w:t>
      </w:r>
    </w:p>
    <w:p w14:paraId="3BE8F8B3"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No. acciones: 12.026</w:t>
      </w:r>
    </w:p>
    <w:p w14:paraId="7399B0C8"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Porcentaje: 0.00066451558%</w:t>
      </w:r>
    </w:p>
    <w:p w14:paraId="6A1FECFA" w14:textId="77777777" w:rsidR="0020124C" w:rsidRPr="0020124C" w:rsidRDefault="0020124C" w:rsidP="0020124C">
      <w:pPr>
        <w:rPr>
          <w:rFonts w:ascii="Tahoma" w:eastAsia="Aptos" w:hAnsi="Tahoma" w:cs="Tahoma"/>
          <w:b/>
          <w:kern w:val="0"/>
          <w:lang w:val="es-ES" w:eastAsia="es-CO"/>
          <w14:ligatures w14:val="none"/>
        </w:rPr>
      </w:pPr>
    </w:p>
    <w:p w14:paraId="65D32A7B"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b/>
          <w:kern w:val="0"/>
          <w:lang w:val="es-ES" w:eastAsia="es-CO"/>
          <w14:ligatures w14:val="none"/>
        </w:rPr>
        <w:lastRenderedPageBreak/>
        <w:t>Accionista: Ventas Profesionales</w:t>
      </w:r>
    </w:p>
    <w:p w14:paraId="71118D98"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NIT: 860.508.523-2</w:t>
      </w:r>
    </w:p>
    <w:p w14:paraId="4971E30D"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No. acciones: 12.026</w:t>
      </w:r>
    </w:p>
    <w:p w14:paraId="312033AE"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Porcentaje: 0.00066451558%</w:t>
      </w:r>
    </w:p>
    <w:p w14:paraId="3B6B5867" w14:textId="77777777" w:rsidR="0020124C" w:rsidRPr="0020124C" w:rsidRDefault="0020124C" w:rsidP="0020124C">
      <w:pPr>
        <w:rPr>
          <w:rFonts w:ascii="Tahoma" w:eastAsia="Aptos" w:hAnsi="Tahoma" w:cs="Tahoma"/>
          <w:b/>
          <w:kern w:val="0"/>
          <w:lang w:val="es-ES" w:eastAsia="es-CO"/>
          <w14:ligatures w14:val="none"/>
        </w:rPr>
      </w:pPr>
    </w:p>
    <w:p w14:paraId="202B381E"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b/>
          <w:kern w:val="0"/>
          <w:lang w:val="es-ES" w:eastAsia="es-CO"/>
          <w14:ligatures w14:val="none"/>
        </w:rPr>
        <w:t>Accionista: Fondo de Empleados de ISA S.A E.S.P. (Feisa)</w:t>
      </w:r>
    </w:p>
    <w:p w14:paraId="3514A26D"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NIT: 860.035.559-6</w:t>
      </w:r>
    </w:p>
    <w:p w14:paraId="73A80D08"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No. acciones: 1</w:t>
      </w:r>
    </w:p>
    <w:p w14:paraId="1108D928" w14:textId="77777777" w:rsidR="0020124C" w:rsidRPr="0020124C" w:rsidRDefault="0020124C" w:rsidP="0020124C">
      <w:pPr>
        <w:rPr>
          <w:rFonts w:ascii="Tahoma" w:eastAsia="Aptos" w:hAnsi="Tahoma" w:cs="Tahoma"/>
          <w:kern w:val="0"/>
          <w:lang w:val="es-ES" w:eastAsia="es-CO"/>
          <w14:ligatures w14:val="none"/>
        </w:rPr>
      </w:pPr>
      <w:r w:rsidRPr="0020124C">
        <w:rPr>
          <w:rFonts w:ascii="Tahoma" w:eastAsia="Aptos" w:hAnsi="Tahoma" w:cs="Tahoma"/>
          <w:kern w:val="0"/>
          <w:lang w:val="es-ES" w:eastAsia="es-CO"/>
          <w14:ligatures w14:val="none"/>
        </w:rPr>
        <w:t>Porcentaje: 0.00000005526%</w:t>
      </w:r>
    </w:p>
    <w:p w14:paraId="5714FD59" w14:textId="1B7F8091" w:rsidR="00492BD5" w:rsidRDefault="00492BD5">
      <w:pPr>
        <w:rPr>
          <w:rFonts w:ascii="Calibri" w:hAnsi="Calibri" w:cs="Calibri"/>
          <w:sz w:val="52"/>
          <w:szCs w:val="52"/>
          <w:lang w:val="es-ES"/>
        </w:rPr>
      </w:pPr>
    </w:p>
    <w:p w14:paraId="35EAF5DB" w14:textId="77777777" w:rsidR="00492BD5" w:rsidRDefault="00492BD5">
      <w:pPr>
        <w:rPr>
          <w:rFonts w:ascii="Calibri" w:hAnsi="Calibri" w:cs="Calibri"/>
          <w:sz w:val="52"/>
          <w:szCs w:val="52"/>
          <w:lang w:val="es-ES"/>
        </w:rPr>
      </w:pPr>
    </w:p>
    <w:p w14:paraId="1C799E3C" w14:textId="77777777" w:rsidR="00492BD5" w:rsidRDefault="00492BD5">
      <w:pPr>
        <w:rPr>
          <w:rFonts w:ascii="Calibri" w:hAnsi="Calibri" w:cs="Calibri"/>
          <w:sz w:val="52"/>
          <w:szCs w:val="52"/>
          <w:lang w:val="es-ES"/>
        </w:rPr>
      </w:pPr>
      <w:r>
        <w:rPr>
          <w:rFonts w:ascii="Calibri" w:hAnsi="Calibri" w:cs="Calibri"/>
          <w:sz w:val="52"/>
          <w:szCs w:val="52"/>
          <w:lang w:val="es-ES"/>
        </w:rPr>
        <w:br w:type="page"/>
      </w:r>
    </w:p>
    <w:p w14:paraId="51F3A721" w14:textId="77777777" w:rsidR="00522AB8" w:rsidRPr="00846C12" w:rsidRDefault="00522AB8" w:rsidP="00522AB8">
      <w:pPr>
        <w:jc w:val="both"/>
        <w:rPr>
          <w:rFonts w:ascii="Tahoma" w:eastAsia="Aptos" w:hAnsi="Tahoma" w:cs="Tahoma"/>
          <w:color w:val="0070C0"/>
          <w:kern w:val="0"/>
          <w:sz w:val="40"/>
          <w:szCs w:val="40"/>
          <w:lang w:val="es-ES" w:eastAsia="es-CO"/>
          <w14:ligatures w14:val="none"/>
        </w:rPr>
      </w:pPr>
      <w:r w:rsidRPr="00846C12">
        <w:rPr>
          <w:rFonts w:ascii="Tahoma" w:eastAsia="Aptos" w:hAnsi="Tahoma" w:cs="Tahoma"/>
          <w:b/>
          <w:color w:val="0070C0"/>
          <w:kern w:val="0"/>
          <w:sz w:val="40"/>
          <w:szCs w:val="40"/>
          <w:lang w:val="es-ES" w:eastAsia="es-CO"/>
          <w14:ligatures w14:val="none"/>
        </w:rPr>
        <w:lastRenderedPageBreak/>
        <w:t>Gobierno corporativo</w:t>
      </w:r>
    </w:p>
    <w:p w14:paraId="0B5F8105" w14:textId="77777777" w:rsidR="00522AB8" w:rsidRPr="00846C12" w:rsidRDefault="00522AB8" w:rsidP="00522AB8">
      <w:pPr>
        <w:jc w:val="both"/>
        <w:rPr>
          <w:rFonts w:ascii="Tahoma" w:eastAsia="Aptos" w:hAnsi="Tahoma" w:cs="Tahoma"/>
          <w:color w:val="0070C0"/>
          <w:kern w:val="0"/>
          <w:sz w:val="20"/>
          <w:szCs w:val="20"/>
          <w:lang w:val="pt-BR" w:eastAsia="es-CO"/>
          <w14:ligatures w14:val="none"/>
        </w:rPr>
      </w:pPr>
      <w:r w:rsidRPr="00846C12">
        <w:rPr>
          <w:rFonts w:ascii="Tahoma" w:eastAsia="Aptos" w:hAnsi="Tahoma" w:cs="Tahoma"/>
          <w:b/>
          <w:color w:val="0070C0"/>
          <w:kern w:val="0"/>
          <w:sz w:val="20"/>
          <w:szCs w:val="20"/>
          <w:lang w:val="pt-BR" w:eastAsia="es-CO"/>
          <w14:ligatures w14:val="none"/>
        </w:rPr>
        <w:t>GRI 2-9 GRI 2-11 </w:t>
      </w:r>
    </w:p>
    <w:p w14:paraId="69E56319" w14:textId="77777777" w:rsidR="00522AB8" w:rsidRPr="002520F1" w:rsidRDefault="00522AB8" w:rsidP="00522AB8">
      <w:pPr>
        <w:jc w:val="both"/>
        <w:rPr>
          <w:rFonts w:ascii="Tahoma" w:eastAsia="Aptos" w:hAnsi="Tahoma" w:cs="Tahoma"/>
          <w:color w:val="0070C0"/>
          <w:kern w:val="0"/>
          <w:sz w:val="36"/>
          <w:szCs w:val="36"/>
          <w:lang w:val="pt-BR" w:eastAsia="es-CO"/>
          <w14:ligatures w14:val="none"/>
        </w:rPr>
      </w:pPr>
      <w:r w:rsidRPr="002520F1">
        <w:rPr>
          <w:rFonts w:ascii="Tahoma" w:eastAsia="Aptos" w:hAnsi="Tahoma" w:cs="Tahoma"/>
          <w:b/>
          <w:color w:val="0070C0"/>
          <w:kern w:val="0"/>
          <w:sz w:val="36"/>
          <w:szCs w:val="36"/>
          <w:lang w:val="pt-BR" w:eastAsia="es-CO"/>
          <w14:ligatures w14:val="none"/>
        </w:rPr>
        <w:t>Junta Directiva</w:t>
      </w:r>
    </w:p>
    <w:p w14:paraId="4526C951" w14:textId="77777777" w:rsidR="00522AB8" w:rsidRPr="00466666" w:rsidRDefault="00522AB8" w:rsidP="00522AB8">
      <w:pPr>
        <w:jc w:val="both"/>
        <w:rPr>
          <w:rFonts w:ascii="Tahoma" w:eastAsia="Aptos" w:hAnsi="Tahoma" w:cs="Tahoma"/>
          <w:b/>
          <w:kern w:val="0"/>
          <w:lang w:val="pt-BR" w:eastAsia="es-CO"/>
          <w14:ligatures w14:val="none"/>
        </w:rPr>
      </w:pPr>
      <w:r w:rsidRPr="00466666">
        <w:rPr>
          <w:rFonts w:ascii="Tahoma" w:eastAsia="Aptos" w:hAnsi="Tahoma" w:cs="Tahoma"/>
          <w:b/>
          <w:kern w:val="0"/>
          <w:lang w:val="pt-BR" w:eastAsia="es-CO"/>
          <w14:ligatures w14:val="none"/>
        </w:rPr>
        <w:t>Miembros de Junta:</w:t>
      </w:r>
    </w:p>
    <w:p w14:paraId="7C0607F5" w14:textId="77777777" w:rsidR="00522AB8" w:rsidRPr="00AC1146" w:rsidRDefault="00522AB8" w:rsidP="00164509">
      <w:pPr>
        <w:pStyle w:val="Prrafodelista"/>
        <w:numPr>
          <w:ilvl w:val="0"/>
          <w:numId w:val="149"/>
        </w:numPr>
        <w:spacing w:after="0" w:line="240" w:lineRule="auto"/>
        <w:jc w:val="both"/>
        <w:rPr>
          <w:rFonts w:ascii="Tahoma" w:eastAsia="Aptos" w:hAnsi="Tahoma" w:cs="Tahoma"/>
          <w:kern w:val="0"/>
          <w:lang w:val="es-ES" w:eastAsia="es-CO"/>
          <w14:ligatures w14:val="none"/>
        </w:rPr>
      </w:pPr>
      <w:r w:rsidRPr="00AC1146">
        <w:rPr>
          <w:rFonts w:ascii="Tahoma" w:eastAsia="Aptos" w:hAnsi="Tahoma" w:cs="Tahoma"/>
          <w:kern w:val="0"/>
          <w:lang w:val="es-ES" w:eastAsia="es-CO"/>
          <w14:ligatures w14:val="none"/>
        </w:rPr>
        <w:t>Gabriel Jaime Melguizo Posada</w:t>
      </w:r>
    </w:p>
    <w:p w14:paraId="0E6C328D" w14:textId="77777777" w:rsidR="00522AB8" w:rsidRPr="00AC1146" w:rsidRDefault="00522AB8" w:rsidP="00164509">
      <w:pPr>
        <w:pStyle w:val="Prrafodelista"/>
        <w:numPr>
          <w:ilvl w:val="0"/>
          <w:numId w:val="149"/>
        </w:numPr>
        <w:spacing w:after="0" w:line="240" w:lineRule="auto"/>
        <w:jc w:val="both"/>
        <w:rPr>
          <w:rFonts w:ascii="Tahoma" w:eastAsia="Aptos" w:hAnsi="Tahoma" w:cs="Tahoma"/>
          <w:kern w:val="0"/>
          <w:lang w:val="es-ES" w:eastAsia="es-CO"/>
          <w14:ligatures w14:val="none"/>
        </w:rPr>
      </w:pPr>
      <w:r w:rsidRPr="00AC1146">
        <w:rPr>
          <w:rFonts w:ascii="Tahoma" w:eastAsia="Aptos" w:hAnsi="Tahoma" w:cs="Tahoma"/>
          <w:kern w:val="0"/>
          <w:lang w:val="es-ES" w:eastAsia="es-CO"/>
          <w14:ligatures w14:val="none"/>
        </w:rPr>
        <w:t>Olga Patricia Castaño Díaz</w:t>
      </w:r>
    </w:p>
    <w:p w14:paraId="67DBF7F4" w14:textId="77777777" w:rsidR="00522AB8" w:rsidRPr="00AC1146" w:rsidRDefault="00522AB8" w:rsidP="00164509">
      <w:pPr>
        <w:pStyle w:val="Prrafodelista"/>
        <w:numPr>
          <w:ilvl w:val="0"/>
          <w:numId w:val="149"/>
        </w:numPr>
        <w:spacing w:after="0" w:line="240" w:lineRule="auto"/>
        <w:jc w:val="both"/>
        <w:rPr>
          <w:rFonts w:ascii="Tahoma" w:eastAsia="Aptos" w:hAnsi="Tahoma" w:cs="Tahoma"/>
          <w:kern w:val="0"/>
          <w:lang w:val="es-ES" w:eastAsia="es-CO"/>
          <w14:ligatures w14:val="none"/>
        </w:rPr>
      </w:pPr>
      <w:r w:rsidRPr="00AC1146">
        <w:rPr>
          <w:rFonts w:ascii="Tahoma" w:eastAsia="Aptos" w:hAnsi="Tahoma" w:cs="Tahoma"/>
          <w:kern w:val="0"/>
          <w:lang w:val="es-ES" w:eastAsia="es-CO"/>
          <w14:ligatures w14:val="none"/>
        </w:rPr>
        <w:t>Luis Alejandro Camargo Suan</w:t>
      </w:r>
    </w:p>
    <w:p w14:paraId="7CC43656" w14:textId="77777777" w:rsidR="00522AB8" w:rsidRPr="00AC1146" w:rsidRDefault="00522AB8" w:rsidP="00164509">
      <w:pPr>
        <w:pStyle w:val="Prrafodelista"/>
        <w:numPr>
          <w:ilvl w:val="0"/>
          <w:numId w:val="149"/>
        </w:numPr>
        <w:spacing w:after="0" w:line="240" w:lineRule="auto"/>
        <w:jc w:val="both"/>
        <w:rPr>
          <w:rFonts w:ascii="Tahoma" w:eastAsia="Aptos" w:hAnsi="Tahoma" w:cs="Tahoma"/>
          <w:kern w:val="0"/>
          <w:lang w:val="es-ES" w:eastAsia="es-CO"/>
          <w14:ligatures w14:val="none"/>
        </w:rPr>
      </w:pPr>
      <w:r w:rsidRPr="00AC1146">
        <w:rPr>
          <w:rFonts w:ascii="Tahoma" w:eastAsia="Aptos" w:hAnsi="Tahoma" w:cs="Tahoma"/>
          <w:kern w:val="0"/>
          <w:lang w:val="es-ES" w:eastAsia="es-CO"/>
          <w14:ligatures w14:val="none"/>
        </w:rPr>
        <w:t>Rafael Del Castillo Trucco</w:t>
      </w:r>
    </w:p>
    <w:p w14:paraId="0E657443" w14:textId="77777777" w:rsidR="00522AB8" w:rsidRPr="00AC1146" w:rsidRDefault="00522AB8" w:rsidP="00164509">
      <w:pPr>
        <w:pStyle w:val="Prrafodelista"/>
        <w:numPr>
          <w:ilvl w:val="0"/>
          <w:numId w:val="149"/>
        </w:numPr>
        <w:spacing w:after="0" w:line="240" w:lineRule="auto"/>
        <w:jc w:val="both"/>
        <w:rPr>
          <w:rFonts w:ascii="Tahoma" w:eastAsia="Aptos" w:hAnsi="Tahoma" w:cs="Tahoma"/>
          <w:kern w:val="0"/>
          <w:lang w:val="es-ES" w:eastAsia="es-CO"/>
          <w14:ligatures w14:val="none"/>
        </w:rPr>
      </w:pPr>
      <w:r w:rsidRPr="00AC1146">
        <w:rPr>
          <w:rFonts w:ascii="Tahoma" w:eastAsia="Aptos" w:hAnsi="Tahoma" w:cs="Tahoma"/>
          <w:kern w:val="0"/>
          <w:lang w:val="es-ES" w:eastAsia="es-CO"/>
          <w14:ligatures w14:val="none"/>
        </w:rPr>
        <w:t xml:space="preserve">Sonia Margarita Abuchar Alemán </w:t>
      </w:r>
    </w:p>
    <w:p w14:paraId="6529DAEC" w14:textId="77777777" w:rsidR="00522AB8" w:rsidRPr="00522AB8" w:rsidRDefault="00522AB8" w:rsidP="00522AB8">
      <w:pPr>
        <w:jc w:val="both"/>
        <w:rPr>
          <w:rFonts w:ascii="Tahoma" w:eastAsia="Aptos" w:hAnsi="Tahoma" w:cs="Tahoma"/>
          <w:b/>
          <w:kern w:val="0"/>
          <w:lang w:val="es-ES" w:eastAsia="es-CO"/>
          <w14:ligatures w14:val="none"/>
        </w:rPr>
      </w:pPr>
    </w:p>
    <w:p w14:paraId="11C06C8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El máximo órgano de gobierno de TRANSELCA está conformado por:</w:t>
      </w:r>
    </w:p>
    <w:p w14:paraId="1E0F1908" w14:textId="77777777" w:rsidR="00522AB8" w:rsidRPr="00846C12" w:rsidRDefault="00522AB8" w:rsidP="00522AB8">
      <w:pPr>
        <w:jc w:val="both"/>
        <w:rPr>
          <w:rFonts w:ascii="Tahoma" w:eastAsia="Aptos" w:hAnsi="Tahoma" w:cs="Tahoma"/>
          <w:color w:val="0070C0"/>
          <w:kern w:val="0"/>
          <w:sz w:val="20"/>
          <w:szCs w:val="20"/>
          <w:lang w:val="es-ES" w:eastAsia="es-CO"/>
          <w14:ligatures w14:val="none"/>
        </w:rPr>
      </w:pPr>
      <w:r w:rsidRPr="00846C12">
        <w:rPr>
          <w:rFonts w:ascii="Tahoma" w:eastAsia="Aptos" w:hAnsi="Tahoma" w:cs="Tahoma"/>
          <w:b/>
          <w:color w:val="0070C0"/>
          <w:kern w:val="0"/>
          <w:sz w:val="20"/>
          <w:szCs w:val="20"/>
          <w:lang w:val="es-ES" w:eastAsia="es-CO"/>
          <w14:ligatures w14:val="none"/>
        </w:rPr>
        <w:t>GRI 2-9.a </w:t>
      </w:r>
    </w:p>
    <w:p w14:paraId="44401A07" w14:textId="77777777" w:rsidR="00522AB8" w:rsidRPr="00522AB8" w:rsidRDefault="00522AB8" w:rsidP="00164509">
      <w:pPr>
        <w:numPr>
          <w:ilvl w:val="0"/>
          <w:numId w:val="116"/>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La Asamblea de Accionistas como cuerpo</w:t>
      </w:r>
    </w:p>
    <w:p w14:paraId="6A335B60" w14:textId="77777777" w:rsidR="00522AB8" w:rsidRPr="00522AB8" w:rsidRDefault="00522AB8" w:rsidP="00164509">
      <w:pPr>
        <w:numPr>
          <w:ilvl w:val="0"/>
          <w:numId w:val="116"/>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La Junta Directiva </w:t>
      </w:r>
    </w:p>
    <w:p w14:paraId="4F45741A"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p>
    <w:p w14:paraId="3683D772" w14:textId="77777777" w:rsidR="00522AB8" w:rsidRPr="00522AB8" w:rsidRDefault="00522AB8" w:rsidP="00522AB8">
      <w:pPr>
        <w:spacing w:after="0" w:line="240" w:lineRule="auto"/>
        <w:jc w:val="both"/>
        <w:rPr>
          <w:rFonts w:ascii="Tahoma" w:eastAsia="Aptos" w:hAnsi="Tahoma" w:cs="Tahoma"/>
          <w:b/>
          <w:kern w:val="0"/>
          <w:lang w:val="es-ES" w:eastAsia="es-CO"/>
          <w14:ligatures w14:val="none"/>
        </w:rPr>
      </w:pPr>
    </w:p>
    <w:p w14:paraId="73308B76"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La Junta Directiva de TRANSELCA cuenta con cinco miembros principales que tienen como responsabilidad aprobar las estrategias y programas que presente la Gerencia General y ofrecer recomendaciones para su ejecución. En el 2024 se reunió 9 veces en 2024 (6 ordinarias y 3 extraordinarias). </w:t>
      </w:r>
      <w:r w:rsidRPr="00846C12">
        <w:rPr>
          <w:rFonts w:ascii="Tahoma" w:eastAsia="Aptos" w:hAnsi="Tahoma" w:cs="Tahoma"/>
          <w:b/>
          <w:color w:val="0070C0"/>
          <w:kern w:val="0"/>
          <w:lang w:val="es-ES" w:eastAsia="es-CO"/>
          <w14:ligatures w14:val="none"/>
        </w:rPr>
        <w:t>GRI 2-9.a.</w:t>
      </w:r>
      <w:r w:rsidRPr="00846C12">
        <w:rPr>
          <w:rFonts w:ascii="Tahoma" w:eastAsia="Aptos" w:hAnsi="Tahoma" w:cs="Tahoma"/>
          <w:color w:val="0070C0"/>
          <w:kern w:val="0"/>
          <w:lang w:val="es-ES" w:eastAsia="es-CO"/>
          <w14:ligatures w14:val="none"/>
        </w:rPr>
        <w:t> </w:t>
      </w:r>
    </w:p>
    <w:p w14:paraId="28633411"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Todos los miembros de la Junta Directiva tienen un rol principal y ejecutivo, y de conformidad con los Estatutos Sociales, son elegidos por la Asamblea General de Accionistas.</w:t>
      </w:r>
    </w:p>
    <w:p w14:paraId="00D12FF2"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La elección de los miembros de Junta se hace teniendo en cuenta la representación proporcional de la propiedad accionaría de cada accionista y de acuerdo con criterios de competencia profesional, idoneidad y reconocida solvencia moral. La designación como miembro de Junta Directiva de TRANSELCA puede efectuarse a título personal o a un cargo determinado. </w:t>
      </w:r>
      <w:r w:rsidRPr="00846C12">
        <w:rPr>
          <w:rFonts w:ascii="Tahoma" w:eastAsia="Aptos" w:hAnsi="Tahoma" w:cs="Tahoma"/>
          <w:b/>
          <w:color w:val="0070C0"/>
          <w:kern w:val="0"/>
          <w:lang w:val="es-ES" w:eastAsia="es-CO"/>
          <w14:ligatures w14:val="none"/>
        </w:rPr>
        <w:t>GRI 2-10</w:t>
      </w:r>
    </w:p>
    <w:p w14:paraId="7428FA21" w14:textId="77777777" w:rsidR="00522AB8" w:rsidRPr="00846C12"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kern w:val="0"/>
          <w:lang w:val="es-ES" w:eastAsia="es-CO"/>
          <w14:ligatures w14:val="none"/>
        </w:rPr>
        <w:t xml:space="preserve">Como parte del proceso para designar los miembros de Junta, las hojas de vida de los postulados se publican en la página web de la entidad o se leen en la reunión de la Asamblea a fin de garantizar el conocimiento de las competencias de los postulados por parte de la Junta Directiva previo a la elección. </w:t>
      </w:r>
      <w:r w:rsidRPr="00846C12">
        <w:rPr>
          <w:rFonts w:ascii="Tahoma" w:eastAsia="Aptos" w:hAnsi="Tahoma" w:cs="Tahoma"/>
          <w:b/>
          <w:color w:val="0070C0"/>
          <w:kern w:val="0"/>
          <w:lang w:val="es-ES" w:eastAsia="es-CO"/>
          <w14:ligatures w14:val="none"/>
        </w:rPr>
        <w:t>GRI 2-10</w:t>
      </w:r>
    </w:p>
    <w:p w14:paraId="6310AC10" w14:textId="77777777" w:rsidR="00522AB8" w:rsidRPr="00B52AA2"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b/>
          <w:kern w:val="0"/>
          <w:lang w:val="es-ES" w:eastAsia="es-CO"/>
          <w14:ligatures w14:val="none"/>
        </w:rPr>
        <w:t>Nota:</w:t>
      </w:r>
      <w:r w:rsidRPr="00522AB8">
        <w:rPr>
          <w:rFonts w:ascii="Tahoma" w:eastAsia="Aptos" w:hAnsi="Tahoma" w:cs="Tahoma"/>
          <w:kern w:val="0"/>
          <w:lang w:val="es-ES" w:eastAsia="es-CO"/>
          <w14:ligatures w14:val="none"/>
        </w:rPr>
        <w:t xml:space="preserve"> En el caso de que sean publicadas en la página web, de acuerdo con el Artículo 4 del reglamento interno de la Junta Directiva, la publicación debe </w:t>
      </w:r>
      <w:r w:rsidRPr="00522AB8">
        <w:rPr>
          <w:rFonts w:ascii="Tahoma" w:eastAsia="Aptos" w:hAnsi="Tahoma" w:cs="Tahoma"/>
          <w:kern w:val="0"/>
          <w:lang w:val="es-ES" w:eastAsia="es-CO"/>
          <w14:ligatures w14:val="none"/>
        </w:rPr>
        <w:lastRenderedPageBreak/>
        <w:t xml:space="preserve">hacerse en el mismo orden en el que se reciben en la Secretaría General. </w:t>
      </w:r>
      <w:r w:rsidRPr="00B52AA2">
        <w:rPr>
          <w:rFonts w:ascii="Tahoma" w:eastAsia="Aptos" w:hAnsi="Tahoma" w:cs="Tahoma"/>
          <w:b/>
          <w:color w:val="0070C0"/>
          <w:kern w:val="0"/>
          <w:lang w:val="es-ES" w:eastAsia="es-CO"/>
          <w14:ligatures w14:val="none"/>
        </w:rPr>
        <w:t>GRI 2-10</w:t>
      </w:r>
    </w:p>
    <w:tbl>
      <w:tblPr>
        <w:tblW w:w="8637" w:type="dxa"/>
        <w:tblLayout w:type="fixed"/>
        <w:tblLook w:val="0400" w:firstRow="0" w:lastRow="0" w:firstColumn="0" w:lastColumn="0" w:noHBand="0" w:noVBand="1"/>
      </w:tblPr>
      <w:tblGrid>
        <w:gridCol w:w="2026"/>
        <w:gridCol w:w="2075"/>
        <w:gridCol w:w="2693"/>
        <w:gridCol w:w="1843"/>
      </w:tblGrid>
      <w:tr w:rsidR="00522AB8" w:rsidRPr="00522AB8" w14:paraId="13C421F4"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5D295"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Nombre </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8C5FC5"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Independiente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2C08A"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Comités a los que pertenece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13BE9"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Preside o no un comité de la J.D</w:t>
            </w:r>
          </w:p>
        </w:tc>
      </w:tr>
      <w:tr w:rsidR="00522AB8" w:rsidRPr="00522AB8" w14:paraId="02979A93"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574BFB"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Sonia Margarita</w:t>
            </w:r>
          </w:p>
          <w:p w14:paraId="3E0ABAD2"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Abuchar Alemán </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DCD93"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No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45E96"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 de Auditoría y Riesgos</w:t>
            </w:r>
          </w:p>
          <w:p w14:paraId="0C9D86B3"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 de Ética.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52B37" w14:textId="77777777" w:rsidR="00522AB8" w:rsidRPr="00522AB8" w:rsidRDefault="00522AB8" w:rsidP="00C34059">
            <w:pPr>
              <w:jc w:val="center"/>
              <w:rPr>
                <w:rFonts w:ascii="Tahoma" w:eastAsia="Aptos" w:hAnsi="Tahoma" w:cs="Tahoma"/>
                <w:kern w:val="0"/>
                <w:lang w:val="es-ES" w:eastAsia="es-CO"/>
                <w14:ligatures w14:val="none"/>
              </w:rPr>
            </w:pPr>
          </w:p>
        </w:tc>
      </w:tr>
      <w:tr w:rsidR="00522AB8" w:rsidRPr="00522AB8" w14:paraId="0388DFE9"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11B8B8"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Luis Alejandro</w:t>
            </w:r>
          </w:p>
          <w:p w14:paraId="7BE830FA"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Camargo Suan </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BD841"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Sí</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94005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 de Auditoría y Riesgos</w:t>
            </w:r>
          </w:p>
          <w:p w14:paraId="54DD00EF"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 de Ética.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79C50A"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Sí</w:t>
            </w:r>
          </w:p>
        </w:tc>
      </w:tr>
      <w:tr w:rsidR="00522AB8" w:rsidRPr="00522AB8" w14:paraId="35236849"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2A7DD"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Olga Patricia</w:t>
            </w:r>
          </w:p>
          <w:p w14:paraId="41EEA84B"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Castaño Díaz </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BB2B5F"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No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BCB74" w14:textId="77777777" w:rsidR="00522AB8" w:rsidRPr="00522AB8" w:rsidRDefault="00522AB8" w:rsidP="00522AB8">
            <w:pPr>
              <w:jc w:val="both"/>
              <w:rPr>
                <w:rFonts w:ascii="Tahoma" w:eastAsia="Aptos" w:hAnsi="Tahoma" w:cs="Tahoma"/>
                <w:kern w:val="0"/>
                <w:lang w:val="es-ES" w:eastAsia="es-CO"/>
                <w14:ligatures w14:val="none"/>
              </w:rPr>
            </w:pP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390937" w14:textId="77777777" w:rsidR="00522AB8" w:rsidRPr="00522AB8" w:rsidRDefault="00522AB8" w:rsidP="00C34059">
            <w:pPr>
              <w:jc w:val="center"/>
              <w:rPr>
                <w:rFonts w:ascii="Tahoma" w:eastAsia="Aptos" w:hAnsi="Tahoma" w:cs="Tahoma"/>
                <w:kern w:val="0"/>
                <w:lang w:val="es-ES" w:eastAsia="es-CO"/>
                <w14:ligatures w14:val="none"/>
              </w:rPr>
            </w:pPr>
          </w:p>
        </w:tc>
      </w:tr>
      <w:tr w:rsidR="00522AB8" w:rsidRPr="00522AB8" w14:paraId="2678FA47"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64822D"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Gabriel Jaime</w:t>
            </w:r>
          </w:p>
          <w:p w14:paraId="6CE2C107"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Melguizo Posada </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40AB9"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No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C4BAC"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Presidente Junta Directiva.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1FF7FA" w14:textId="77777777" w:rsidR="00522AB8" w:rsidRPr="00522AB8" w:rsidRDefault="00522AB8" w:rsidP="00C34059">
            <w:pPr>
              <w:jc w:val="center"/>
              <w:rPr>
                <w:rFonts w:ascii="Tahoma" w:eastAsia="Aptos" w:hAnsi="Tahoma" w:cs="Tahoma"/>
                <w:kern w:val="0"/>
                <w:lang w:val="es-ES" w:eastAsia="es-CO"/>
                <w14:ligatures w14:val="none"/>
              </w:rPr>
            </w:pPr>
          </w:p>
        </w:tc>
      </w:tr>
      <w:tr w:rsidR="00522AB8" w:rsidRPr="00522AB8" w14:paraId="192D3A2C" w14:textId="77777777" w:rsidTr="00955EFE">
        <w:tc>
          <w:tcPr>
            <w:tcW w:w="2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64213"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Rafael Simón del Castillo Trucco</w:t>
            </w:r>
          </w:p>
        </w:tc>
        <w:tc>
          <w:tcPr>
            <w:tcW w:w="2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C182EE"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Sí</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8CEDC"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 de Auditoría y Riesgos.</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B4A510" w14:textId="77777777" w:rsidR="00522AB8" w:rsidRPr="00522AB8" w:rsidRDefault="00522AB8" w:rsidP="00C34059">
            <w:pPr>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Sí</w:t>
            </w:r>
          </w:p>
        </w:tc>
      </w:tr>
    </w:tbl>
    <w:p w14:paraId="771D57EA" w14:textId="77777777" w:rsidR="00522AB8" w:rsidRPr="00B52AA2" w:rsidRDefault="00522AB8" w:rsidP="00522AB8">
      <w:pPr>
        <w:jc w:val="both"/>
        <w:rPr>
          <w:rFonts w:ascii="Tahoma" w:eastAsia="Aptos" w:hAnsi="Tahoma" w:cs="Tahoma"/>
          <w:color w:val="0070C0"/>
          <w:kern w:val="0"/>
          <w:lang w:val="es-ES" w:eastAsia="es-CO"/>
          <w14:ligatures w14:val="none"/>
        </w:rPr>
      </w:pPr>
      <w:r w:rsidRPr="00B52AA2">
        <w:rPr>
          <w:rFonts w:ascii="Tahoma" w:eastAsia="Aptos" w:hAnsi="Tahoma" w:cs="Tahoma"/>
          <w:b/>
          <w:color w:val="0070C0"/>
          <w:kern w:val="0"/>
          <w:lang w:val="es-ES" w:eastAsia="es-CO"/>
          <w14:ligatures w14:val="none"/>
        </w:rPr>
        <w:t>GRI 2-9. c.i, ii </w:t>
      </w:r>
    </w:p>
    <w:p w14:paraId="3BC2931C"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El porcentaje de miembros independientes de la Junta Directiva es 60% independientes y 40% no independientes.</w:t>
      </w:r>
    </w:p>
    <w:p w14:paraId="3292709D"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 xml:space="preserve">Nota: </w:t>
      </w:r>
      <w:r w:rsidRPr="00522AB8">
        <w:rPr>
          <w:rFonts w:ascii="Tahoma" w:eastAsia="Aptos" w:hAnsi="Tahoma" w:cs="Tahoma"/>
          <w:kern w:val="0"/>
          <w:lang w:val="es-ES" w:eastAsia="es-CO"/>
          <w14:ligatures w14:val="none"/>
        </w:rPr>
        <w:t xml:space="preserve">Por políticas de TRANSELCA ningún empleado de la empresa puede ser miembro de Junta Directiva. Por lo tanto, el presidente de la Junta, Gabriel Jaime Melguizo Posada, no desempeña un cargo ejecutivo dentro de la organización. </w:t>
      </w:r>
      <w:r w:rsidRPr="00B52AA2">
        <w:rPr>
          <w:rFonts w:ascii="Tahoma" w:eastAsia="Aptos" w:hAnsi="Tahoma" w:cs="Tahoma"/>
          <w:b/>
          <w:color w:val="0070C0"/>
          <w:kern w:val="0"/>
          <w:lang w:val="es-ES" w:eastAsia="es-CO"/>
          <w14:ligatures w14:val="none"/>
        </w:rPr>
        <w:t>GRI 2-11.a</w:t>
      </w:r>
    </w:p>
    <w:p w14:paraId="36F70FE7"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Todos los miembros de la Junta Directiva cuentan con experiencia en liderazgo y gestión estratégica, lo que aporta una visión clara y comprometida con los valores de sostenibilidad. Sus habilidades para la toma de decisiones y la comprensión de la industria eléctrica y de la energía fomentan la innovación para el desarrollo empresarial. </w:t>
      </w:r>
    </w:p>
    <w:p w14:paraId="3F29D4BA" w14:textId="77777777" w:rsidR="00522AB8" w:rsidRPr="00522AB8" w:rsidRDefault="00522AB8" w:rsidP="00522AB8">
      <w:pPr>
        <w:jc w:val="both"/>
        <w:rPr>
          <w:rFonts w:ascii="Tahoma" w:eastAsia="Aptos" w:hAnsi="Tahoma" w:cs="Tahoma"/>
          <w:kern w:val="0"/>
          <w:lang w:val="es-ES" w:eastAsia="es-CO"/>
          <w14:ligatures w14:val="none"/>
        </w:rPr>
      </w:pPr>
    </w:p>
    <w:p w14:paraId="42D2CC2C"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Durante el periodo en el que han sido parte de la Junta han demostrado capacidades para trabajar en equipo e impulsar el crecimiento de la empresa.</w:t>
      </w:r>
    </w:p>
    <w:p w14:paraId="2BEF7D57"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Entre las competencias técnicas con que cuentan los miembros de Junta se resaltan las siguientes:</w:t>
      </w:r>
    </w:p>
    <w:p w14:paraId="1DA845C7"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Sostenibilidad.</w:t>
      </w:r>
    </w:p>
    <w:p w14:paraId="5B89AE98"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Direccionamiento estratégico.</w:t>
      </w:r>
    </w:p>
    <w:p w14:paraId="4BFBEC1D"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Finanzas corporativas y mercado de capitales.</w:t>
      </w:r>
    </w:p>
    <w:p w14:paraId="1A9DE7C8"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Fusiones, adquisiciones y negocios internacionales.</w:t>
      </w:r>
    </w:p>
    <w:p w14:paraId="36D1B5EE"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Direccionamiento de grupos empresariales.</w:t>
      </w:r>
    </w:p>
    <w:p w14:paraId="263D2FDF"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Administración de riesgos empresariales.</w:t>
      </w:r>
    </w:p>
    <w:p w14:paraId="146251A2"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entorno legal y regulatorio.</w:t>
      </w:r>
    </w:p>
    <w:p w14:paraId="1AE2829B" w14:textId="77777777" w:rsidR="00522AB8" w:rsidRPr="00522AB8" w:rsidRDefault="00522AB8" w:rsidP="00164509">
      <w:pPr>
        <w:numPr>
          <w:ilvl w:val="0"/>
          <w:numId w:val="120"/>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Relacionamiento con autoridades.</w:t>
      </w:r>
    </w:p>
    <w:p w14:paraId="7EB9241C" w14:textId="77777777" w:rsidR="00522AB8" w:rsidRPr="00522AB8" w:rsidRDefault="00522AB8" w:rsidP="00522AB8">
      <w:pPr>
        <w:jc w:val="both"/>
        <w:rPr>
          <w:rFonts w:ascii="Tahoma" w:eastAsia="Aptos" w:hAnsi="Tahoma" w:cs="Tahoma"/>
          <w:kern w:val="0"/>
          <w:lang w:val="es-ES" w:eastAsia="es-CO"/>
          <w14:ligatures w14:val="none"/>
        </w:rPr>
      </w:pPr>
    </w:p>
    <w:tbl>
      <w:tblPr>
        <w:tblW w:w="8484" w:type="dxa"/>
        <w:tblLayout w:type="fixed"/>
        <w:tblLook w:val="0400" w:firstRow="0" w:lastRow="0" w:firstColumn="0" w:lastColumn="0" w:noHBand="0" w:noVBand="1"/>
      </w:tblPr>
      <w:tblGrid>
        <w:gridCol w:w="2967"/>
        <w:gridCol w:w="1740"/>
        <w:gridCol w:w="3777"/>
      </w:tblGrid>
      <w:tr w:rsidR="00522AB8" w:rsidRPr="00522AB8" w14:paraId="739CD99A" w14:textId="77777777" w:rsidTr="00955EFE">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AB4208"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Miembros </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10EA2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Antigüedad</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29077"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Competencias en la industria</w:t>
            </w:r>
          </w:p>
        </w:tc>
      </w:tr>
      <w:tr w:rsidR="00522AB8" w:rsidRPr="00522AB8" w14:paraId="573C25E5" w14:textId="77777777" w:rsidTr="00955EFE">
        <w:trPr>
          <w:trHeight w:val="653"/>
        </w:trPr>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4E7DF"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Sonia Margarita Abuchar Alemán</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04AAD" w14:textId="77777777" w:rsidR="00522AB8" w:rsidRPr="00522AB8" w:rsidRDefault="00522AB8" w:rsidP="00522AB8">
            <w:pPr>
              <w:spacing w:after="0" w:line="240" w:lineRule="auto"/>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1 año</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DA191" w14:textId="77777777" w:rsidR="00522AB8" w:rsidRPr="00522AB8" w:rsidRDefault="00522AB8" w:rsidP="00164509">
            <w:pPr>
              <w:numPr>
                <w:ilvl w:val="0"/>
                <w:numId w:val="119"/>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Transmisión de energía</w:t>
            </w:r>
          </w:p>
        </w:tc>
      </w:tr>
      <w:tr w:rsidR="00522AB8" w:rsidRPr="00522AB8" w14:paraId="153432C3" w14:textId="77777777" w:rsidTr="00955EFE">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6A373"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Luis Alejandro Camargo Suan </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943C5" w14:textId="77777777" w:rsidR="00522AB8" w:rsidRPr="00522AB8" w:rsidRDefault="00522AB8" w:rsidP="00522AB8">
            <w:pPr>
              <w:spacing w:after="0" w:line="240" w:lineRule="auto"/>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2 años</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9EA55" w14:textId="77777777" w:rsidR="00522AB8" w:rsidRPr="00522AB8" w:rsidRDefault="00522AB8" w:rsidP="00164509">
            <w:pPr>
              <w:numPr>
                <w:ilvl w:val="0"/>
                <w:numId w:val="118"/>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Transmisión de energía.</w:t>
            </w:r>
          </w:p>
          <w:p w14:paraId="60CF8BD4" w14:textId="77777777" w:rsidR="00522AB8" w:rsidRPr="00522AB8" w:rsidRDefault="00522AB8" w:rsidP="00164509">
            <w:pPr>
              <w:numPr>
                <w:ilvl w:val="0"/>
                <w:numId w:val="118"/>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Operación de sistemas eléctricos.</w:t>
            </w:r>
          </w:p>
        </w:tc>
      </w:tr>
      <w:tr w:rsidR="00522AB8" w:rsidRPr="00522AB8" w14:paraId="11D557A7" w14:textId="77777777" w:rsidTr="00955EFE">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C2827"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Olga Patricia Castaño Díaz</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D1452" w14:textId="77777777" w:rsidR="00522AB8" w:rsidRPr="00522AB8" w:rsidRDefault="00522AB8" w:rsidP="00522AB8">
            <w:pPr>
              <w:spacing w:after="0" w:line="240" w:lineRule="auto"/>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4 años</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15172" w14:textId="77777777" w:rsidR="00522AB8" w:rsidRPr="00522AB8" w:rsidRDefault="00522AB8" w:rsidP="00164509">
            <w:pPr>
              <w:numPr>
                <w:ilvl w:val="0"/>
                <w:numId w:val="117"/>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Transmisión de energía.</w:t>
            </w:r>
          </w:p>
          <w:p w14:paraId="520E8371" w14:textId="77777777" w:rsidR="00522AB8" w:rsidRPr="00522AB8" w:rsidRDefault="00522AB8" w:rsidP="00164509">
            <w:pPr>
              <w:numPr>
                <w:ilvl w:val="0"/>
                <w:numId w:val="117"/>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Concesiones viales.</w:t>
            </w:r>
          </w:p>
        </w:tc>
      </w:tr>
      <w:tr w:rsidR="00522AB8" w:rsidRPr="00522AB8" w14:paraId="07586B61" w14:textId="77777777" w:rsidTr="00955EFE">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904DBA"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Gabriel Jaime Melguizo Posada </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02AAEA" w14:textId="77777777" w:rsidR="00522AB8" w:rsidRPr="00522AB8" w:rsidRDefault="00522AB8" w:rsidP="00522AB8">
            <w:pPr>
              <w:spacing w:after="0" w:line="240" w:lineRule="auto"/>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2 años</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3C4C0" w14:textId="77777777" w:rsidR="00522AB8" w:rsidRPr="00522AB8" w:rsidRDefault="00522AB8" w:rsidP="00164509">
            <w:pPr>
              <w:numPr>
                <w:ilvl w:val="0"/>
                <w:numId w:val="127"/>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Transmisión de energía.</w:t>
            </w:r>
          </w:p>
          <w:p w14:paraId="7E7FC93F" w14:textId="77777777" w:rsidR="00522AB8" w:rsidRPr="00522AB8" w:rsidRDefault="00522AB8" w:rsidP="00164509">
            <w:pPr>
              <w:numPr>
                <w:ilvl w:val="0"/>
                <w:numId w:val="127"/>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Operación de sistemas eléctricos.</w:t>
            </w:r>
          </w:p>
        </w:tc>
      </w:tr>
      <w:tr w:rsidR="00522AB8" w:rsidRPr="00522AB8" w14:paraId="30C4EA7B" w14:textId="77777777" w:rsidTr="00955EFE">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C1485"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Rafael Simón Del Castillo Trucco</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C1991" w14:textId="77777777" w:rsidR="00522AB8" w:rsidRPr="00522AB8" w:rsidRDefault="00522AB8" w:rsidP="00522AB8">
            <w:pPr>
              <w:spacing w:after="0" w:line="240" w:lineRule="auto"/>
              <w:jc w:val="center"/>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17 años</w:t>
            </w:r>
          </w:p>
        </w:tc>
        <w:tc>
          <w:tcPr>
            <w:tcW w:w="3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7DB50E" w14:textId="77777777" w:rsidR="00522AB8" w:rsidRPr="00522AB8" w:rsidRDefault="00522AB8" w:rsidP="00164509">
            <w:pPr>
              <w:numPr>
                <w:ilvl w:val="0"/>
                <w:numId w:val="126"/>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Transmisión de energía.</w:t>
            </w:r>
          </w:p>
          <w:p w14:paraId="7997AAB5" w14:textId="77777777" w:rsidR="00522AB8" w:rsidRPr="00522AB8" w:rsidRDefault="00522AB8" w:rsidP="00164509">
            <w:pPr>
              <w:numPr>
                <w:ilvl w:val="0"/>
                <w:numId w:val="126"/>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Operación de sistemas eléctricos.</w:t>
            </w:r>
          </w:p>
          <w:p w14:paraId="4A7CCCAD" w14:textId="77777777" w:rsidR="00522AB8" w:rsidRPr="00522AB8" w:rsidRDefault="00522AB8" w:rsidP="00164509">
            <w:pPr>
              <w:numPr>
                <w:ilvl w:val="0"/>
                <w:numId w:val="126"/>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522AB8">
              <w:rPr>
                <w:rFonts w:ascii="Tahoma" w:eastAsia="Aptos" w:hAnsi="Tahoma" w:cs="Tahoma"/>
                <w:color w:val="000000"/>
                <w:kern w:val="0"/>
                <w:lang w:val="es-ES" w:eastAsia="es-CO"/>
                <w14:ligatures w14:val="none"/>
              </w:rPr>
              <w:t>Concesiones viales.</w:t>
            </w:r>
          </w:p>
        </w:tc>
      </w:tr>
    </w:tbl>
    <w:p w14:paraId="0D643E2A" w14:textId="77777777" w:rsidR="00522AB8" w:rsidRPr="00006683" w:rsidRDefault="00522AB8" w:rsidP="00522AB8">
      <w:pPr>
        <w:jc w:val="both"/>
        <w:rPr>
          <w:rFonts w:ascii="Tahoma" w:eastAsia="Aptos" w:hAnsi="Tahoma" w:cs="Tahoma"/>
          <w:color w:val="0070C0"/>
          <w:kern w:val="0"/>
          <w:u w:val="single"/>
          <w:lang w:val="es-ES" w:eastAsia="es-CO"/>
          <w14:ligatures w14:val="none"/>
        </w:rPr>
      </w:pPr>
      <w:r w:rsidRPr="00006683">
        <w:rPr>
          <w:rFonts w:ascii="Tahoma" w:eastAsia="Aptos" w:hAnsi="Tahoma" w:cs="Tahoma"/>
          <w:b/>
          <w:color w:val="0070C0"/>
          <w:kern w:val="0"/>
          <w:lang w:val="es-ES" w:eastAsia="es-CO"/>
          <w14:ligatures w14:val="none"/>
        </w:rPr>
        <w:t>GRI 2-9.c.vii</w:t>
      </w:r>
    </w:p>
    <w:p w14:paraId="59B17DB0" w14:textId="258EBDA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Con el ánimo de agilizar las decisiones, la Junta Directiva bajó de 4 a 3 el quórum deliberatorio. Esto responde a las </w:t>
      </w:r>
      <w:r w:rsidR="00006683" w:rsidRPr="00522AB8">
        <w:rPr>
          <w:rFonts w:ascii="Tahoma" w:eastAsia="Aptos" w:hAnsi="Tahoma" w:cs="Tahoma"/>
          <w:kern w:val="0"/>
          <w:lang w:val="es-ES" w:eastAsia="es-CO"/>
          <w14:ligatures w14:val="none"/>
        </w:rPr>
        <w:t>complejas agendas</w:t>
      </w:r>
      <w:r w:rsidRPr="00522AB8">
        <w:rPr>
          <w:rFonts w:ascii="Tahoma" w:eastAsia="Aptos" w:hAnsi="Tahoma" w:cs="Tahoma"/>
          <w:kern w:val="0"/>
          <w:lang w:val="es-ES" w:eastAsia="es-CO"/>
          <w14:ligatures w14:val="none"/>
        </w:rPr>
        <w:t xml:space="preserve"> de los miembros de Junta dado su alto perfil, por lo que podrían retrasar la toma de decisiones oportuna.</w:t>
      </w:r>
    </w:p>
    <w:p w14:paraId="092FBE21"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En cada reunión de Junta se revisa la estrategia ISA 2030 para abordar los temas de sostenibilidad en las tres dimensiones: social, ambiental y económico. Por </w:t>
      </w:r>
      <w:r w:rsidRPr="00522AB8">
        <w:rPr>
          <w:rFonts w:ascii="Tahoma" w:eastAsia="Aptos" w:hAnsi="Tahoma" w:cs="Tahoma"/>
          <w:kern w:val="0"/>
          <w:lang w:val="es-ES" w:eastAsia="es-CO"/>
          <w14:ligatures w14:val="none"/>
        </w:rPr>
        <w:lastRenderedPageBreak/>
        <w:t xml:space="preserve">ejemplo, temas de salud y seguridad, emisiones, equipares, SIG, nuevos negocios, indicadores financieros, entre otros temas. </w:t>
      </w:r>
      <w:r w:rsidRPr="00006683">
        <w:rPr>
          <w:rFonts w:ascii="Tahoma" w:eastAsia="Aptos" w:hAnsi="Tahoma" w:cs="Tahoma"/>
          <w:b/>
          <w:color w:val="0070C0"/>
          <w:kern w:val="0"/>
          <w:lang w:val="es-ES" w:eastAsia="es-CO"/>
          <w14:ligatures w14:val="none"/>
        </w:rPr>
        <w:t>GRI 2-12.a; GRI 2-12c</w:t>
      </w:r>
    </w:p>
    <w:p w14:paraId="079DAEC4"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Con el fin de aumentar la eficiencia de dichas reuniones y por mandato de los estatutos sociales, los miembros de Junta reciben con antelación la información que soporta los temas que se tratan en la reunión. </w:t>
      </w:r>
    </w:p>
    <w:p w14:paraId="47464036" w14:textId="77777777" w:rsidR="00522AB8" w:rsidRPr="00006683"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kern w:val="0"/>
          <w:lang w:val="es-ES" w:eastAsia="es-CO"/>
          <w14:ligatures w14:val="none"/>
        </w:rPr>
        <w:t>En las sesiones se evalúa que las acciones y estrategias planteadas tengan coherencia con la estrategia y el propósito superior de TRANSELCA.</w:t>
      </w:r>
      <w:r w:rsidRPr="00006683">
        <w:rPr>
          <w:rFonts w:ascii="Tahoma" w:eastAsia="Aptos" w:hAnsi="Tahoma" w:cs="Tahoma"/>
          <w:b/>
          <w:color w:val="0070C0"/>
          <w:kern w:val="0"/>
          <w:lang w:val="es-ES" w:eastAsia="es-CO"/>
          <w14:ligatures w14:val="none"/>
        </w:rPr>
        <w:t>GRI 2-12.a; GRI 2-12c</w:t>
      </w:r>
    </w:p>
    <w:p w14:paraId="6D1A3B7F"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El orden del día de las sesiones de la Junta Directiva de TRANSELCA se divide en 4 cuerpos: </w:t>
      </w:r>
    </w:p>
    <w:p w14:paraId="226955D9"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1. Temas decisorios, </w:t>
      </w:r>
    </w:p>
    <w:p w14:paraId="3E0F3016"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2. Temas especiales, </w:t>
      </w:r>
    </w:p>
    <w:p w14:paraId="67B4960E"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3. Temas informativos, </w:t>
      </w:r>
    </w:p>
    <w:p w14:paraId="15ED7DAA" w14:textId="77777777" w:rsidR="00522AB8" w:rsidRPr="00522AB8" w:rsidRDefault="00522AB8" w:rsidP="00522AB8">
      <w:p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4. Temas de seguimiento. </w:t>
      </w:r>
    </w:p>
    <w:p w14:paraId="52FAAFC9" w14:textId="77777777" w:rsidR="00522AB8" w:rsidRPr="00522AB8" w:rsidRDefault="00522AB8" w:rsidP="00522AB8">
      <w:pPr>
        <w:jc w:val="both"/>
        <w:rPr>
          <w:rFonts w:ascii="Tahoma" w:eastAsia="Aptos" w:hAnsi="Tahoma" w:cs="Tahoma"/>
          <w:b/>
          <w:kern w:val="0"/>
          <w:lang w:val="es-ES" w:eastAsia="es-CO"/>
          <w14:ligatures w14:val="none"/>
        </w:rPr>
      </w:pPr>
    </w:p>
    <w:p w14:paraId="7636815E"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Principales temas de sostenibilidad en la agenda de la Junta Directiva</w:t>
      </w:r>
    </w:p>
    <w:p w14:paraId="240DDAB4"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Eficiencia energética</w:t>
      </w:r>
    </w:p>
    <w:p w14:paraId="428BDFEA"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Reducción de emisiones</w:t>
      </w:r>
    </w:p>
    <w:p w14:paraId="0B19FA83"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Conservación y protección ambiental</w:t>
      </w:r>
    </w:p>
    <w:p w14:paraId="7EAC39A5"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Responsabilidad social</w:t>
      </w:r>
    </w:p>
    <w:p w14:paraId="302C68C7"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Innovación y transformación digital</w:t>
      </w:r>
    </w:p>
    <w:p w14:paraId="32BC5B1B"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Gestión sostenible de recursos naturales</w:t>
      </w:r>
    </w:p>
    <w:p w14:paraId="7EFFF937" w14:textId="77777777" w:rsidR="00522AB8" w:rsidRPr="00522AB8" w:rsidRDefault="00522AB8" w:rsidP="00164509">
      <w:pPr>
        <w:numPr>
          <w:ilvl w:val="0"/>
          <w:numId w:val="121"/>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Alianzas estratégicas y el cumplimiento normativo </w:t>
      </w:r>
    </w:p>
    <w:p w14:paraId="3D08AE17" w14:textId="77777777" w:rsidR="00522AB8" w:rsidRPr="00522AB8" w:rsidRDefault="00522AB8" w:rsidP="00522AB8">
      <w:pPr>
        <w:jc w:val="both"/>
        <w:rPr>
          <w:rFonts w:ascii="Tahoma" w:eastAsia="Aptos" w:hAnsi="Tahoma" w:cs="Tahoma"/>
          <w:kern w:val="0"/>
          <w:lang w:val="es-ES" w:eastAsia="es-CO"/>
          <w14:ligatures w14:val="none"/>
        </w:rPr>
      </w:pPr>
    </w:p>
    <w:p w14:paraId="110B6C9E"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Conocimientos colectivos de empleados y del máximo órgano de gobierno en sostenibilidad</w:t>
      </w:r>
    </w:p>
    <w:p w14:paraId="7E52AF14"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Para potenciar el conocimiento colectivo en temas de desarrollo sostenible se implementan programas de capacitación y talleres, y se fomenta la participación en foros y seminarios relacionados con la sostenibilidad en sus tres esferas. Adicionalmente, se utilizan plataformas digitales para difundir estos conocimientos. </w:t>
      </w:r>
    </w:p>
    <w:p w14:paraId="45138F9F" w14:textId="77777777" w:rsidR="00522AB8" w:rsidRPr="00006683" w:rsidRDefault="00522AB8" w:rsidP="00522AB8">
      <w:pPr>
        <w:jc w:val="both"/>
        <w:rPr>
          <w:rFonts w:ascii="Tahoma" w:eastAsia="Aptos" w:hAnsi="Tahoma" w:cs="Tahoma"/>
          <w:b/>
          <w:color w:val="0070C0"/>
          <w:kern w:val="0"/>
          <w:lang w:val="es-ES" w:eastAsia="es-CO"/>
          <w14:ligatures w14:val="none"/>
        </w:rPr>
      </w:pPr>
      <w:r w:rsidRPr="00522AB8">
        <w:rPr>
          <w:rFonts w:ascii="Tahoma" w:eastAsia="Aptos" w:hAnsi="Tahoma" w:cs="Tahoma"/>
          <w:kern w:val="0"/>
          <w:lang w:val="es-ES" w:eastAsia="es-CO"/>
          <w14:ligatures w14:val="none"/>
        </w:rPr>
        <w:t xml:space="preserve">Además, la colaboración interdisciplinaria nutre estos conocimientos y se ve recompensada con programas de incentivos y reconocimientos. Estos esfuerzos se complementan con una comunicación transparente que asegura que toda la organización esté alineada y comprometida con los objetivos de sostenibilidad. </w:t>
      </w:r>
      <w:r w:rsidRPr="00006683">
        <w:rPr>
          <w:rFonts w:ascii="Tahoma" w:eastAsia="Aptos" w:hAnsi="Tahoma" w:cs="Tahoma"/>
          <w:b/>
          <w:color w:val="0070C0"/>
          <w:kern w:val="0"/>
          <w:lang w:val="es-ES" w:eastAsia="es-CO"/>
          <w14:ligatures w14:val="none"/>
        </w:rPr>
        <w:t xml:space="preserve">GRI 2-17 </w:t>
      </w:r>
    </w:p>
    <w:p w14:paraId="47C3CE2B" w14:textId="77777777" w:rsidR="00C01E80" w:rsidRPr="00522AB8" w:rsidRDefault="00C01E80" w:rsidP="00522AB8">
      <w:pPr>
        <w:jc w:val="both"/>
        <w:rPr>
          <w:rFonts w:ascii="Tahoma" w:eastAsia="Aptos" w:hAnsi="Tahoma" w:cs="Tahoma"/>
          <w:b/>
          <w:kern w:val="0"/>
          <w:lang w:val="es-ES" w:eastAsia="es-CO"/>
          <w14:ligatures w14:val="none"/>
        </w:rPr>
      </w:pPr>
    </w:p>
    <w:p w14:paraId="1A799C42" w14:textId="77777777" w:rsidR="00522AB8" w:rsidRPr="00006683" w:rsidRDefault="00522AB8" w:rsidP="00522AB8">
      <w:pPr>
        <w:jc w:val="both"/>
        <w:rPr>
          <w:rFonts w:ascii="Tahoma" w:eastAsia="Aptos" w:hAnsi="Tahoma" w:cs="Tahoma"/>
          <w:color w:val="0070C0"/>
          <w:kern w:val="0"/>
          <w:sz w:val="36"/>
          <w:szCs w:val="36"/>
          <w:lang w:val="es-ES" w:eastAsia="es-CO"/>
          <w14:ligatures w14:val="none"/>
        </w:rPr>
      </w:pPr>
      <w:r w:rsidRPr="00006683">
        <w:rPr>
          <w:rFonts w:ascii="Tahoma" w:eastAsia="Aptos" w:hAnsi="Tahoma" w:cs="Tahoma"/>
          <w:b/>
          <w:color w:val="0070C0"/>
          <w:kern w:val="0"/>
          <w:sz w:val="36"/>
          <w:szCs w:val="36"/>
          <w:lang w:val="es-ES" w:eastAsia="es-CO"/>
          <w14:ligatures w14:val="none"/>
        </w:rPr>
        <w:lastRenderedPageBreak/>
        <w:t>Estructura administrativa </w:t>
      </w:r>
    </w:p>
    <w:p w14:paraId="466C4D1E" w14:textId="77777777" w:rsidR="00522AB8" w:rsidRPr="00006683" w:rsidRDefault="00522AB8" w:rsidP="00522AB8">
      <w:pPr>
        <w:jc w:val="both"/>
        <w:rPr>
          <w:rFonts w:ascii="Tahoma" w:eastAsia="Aptos" w:hAnsi="Tahoma" w:cs="Tahoma"/>
          <w:color w:val="0070C0"/>
          <w:kern w:val="0"/>
          <w:lang w:val="es-ES" w:eastAsia="es-CO"/>
          <w14:ligatures w14:val="none"/>
        </w:rPr>
      </w:pPr>
      <w:r w:rsidRPr="00006683">
        <w:rPr>
          <w:rFonts w:ascii="Tahoma" w:eastAsia="Aptos" w:hAnsi="Tahoma" w:cs="Tahoma"/>
          <w:b/>
          <w:color w:val="0070C0"/>
          <w:kern w:val="0"/>
          <w:lang w:val="es-ES" w:eastAsia="es-CO"/>
          <w14:ligatures w14:val="none"/>
        </w:rPr>
        <w:t>GRI 2 9-a </w:t>
      </w:r>
    </w:p>
    <w:p w14:paraId="43D75A21" w14:textId="77777777" w:rsidR="00522AB8" w:rsidRPr="00522AB8" w:rsidRDefault="00522AB8" w:rsidP="00522AB8">
      <w:pPr>
        <w:jc w:val="both"/>
        <w:rPr>
          <w:rFonts w:ascii="Tahoma" w:eastAsia="Aptos" w:hAnsi="Tahoma" w:cs="Tahoma"/>
          <w:kern w:val="0"/>
          <w:lang w:val="es-ES" w:eastAsia="es-CO"/>
          <w14:ligatures w14:val="none"/>
        </w:rPr>
      </w:pPr>
    </w:p>
    <w:p w14:paraId="37A982D9"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La gerencia general, en cabeza de la doctora Brenda Rodríguez Tovar, preside la compañía y se encarga de liderar la visión estratégica del negocio de la mano con su equipo directivo.</w:t>
      </w:r>
    </w:p>
    <w:p w14:paraId="0D679301" w14:textId="6E6A505F" w:rsidR="00522AB8" w:rsidRPr="00522AB8" w:rsidRDefault="00913F01" w:rsidP="00522AB8">
      <w:pPr>
        <w:jc w:val="both"/>
        <w:rPr>
          <w:rFonts w:ascii="Tahoma" w:eastAsia="Aptos" w:hAnsi="Tahoma" w:cs="Tahoma"/>
          <w:b/>
          <w:kern w:val="0"/>
          <w:lang w:val="es-ES" w:eastAsia="es-CO"/>
          <w14:ligatures w14:val="none"/>
        </w:rPr>
      </w:pPr>
      <w:r w:rsidRPr="00B203FB">
        <w:rPr>
          <w:rFonts w:ascii="Tahoma" w:eastAsia="Aptos" w:hAnsi="Tahoma" w:cs="Tahoma"/>
          <w:noProof/>
          <w:kern w:val="0"/>
          <w:lang w:eastAsia="es-CO"/>
          <w14:ligatures w14:val="none"/>
        </w:rPr>
        <w:drawing>
          <wp:anchor distT="0" distB="0" distL="114300" distR="114300" simplePos="0" relativeHeight="251689984" behindDoc="1" locked="0" layoutInCell="1" allowOverlap="1" wp14:anchorId="34CB1C90" wp14:editId="7F9A2C57">
            <wp:simplePos x="0" y="0"/>
            <wp:positionH relativeFrom="margin">
              <wp:posOffset>-32385</wp:posOffset>
            </wp:positionH>
            <wp:positionV relativeFrom="paragraph">
              <wp:posOffset>445770</wp:posOffset>
            </wp:positionV>
            <wp:extent cx="5600700" cy="2181225"/>
            <wp:effectExtent l="0" t="0" r="0" b="9525"/>
            <wp:wrapTight wrapText="bothSides">
              <wp:wrapPolygon edited="0">
                <wp:start x="0" y="0"/>
                <wp:lineTo x="0" y="21506"/>
                <wp:lineTo x="21527" y="21506"/>
                <wp:lineTo x="21527" y="0"/>
                <wp:lineTo x="0" y="0"/>
              </wp:wrapPolygon>
            </wp:wrapTight>
            <wp:docPr id="974589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89179" name=""/>
                    <pic:cNvPicPr/>
                  </pic:nvPicPr>
                  <pic:blipFill rotWithShape="1">
                    <a:blip r:embed="rId16" cstate="print">
                      <a:extLst>
                        <a:ext uri="{28A0092B-C50C-407E-A947-70E740481C1C}">
                          <a14:useLocalDpi xmlns:a14="http://schemas.microsoft.com/office/drawing/2010/main" val="0"/>
                        </a:ext>
                      </a:extLst>
                    </a:blip>
                    <a:srcRect l="1782" t="4451"/>
                    <a:stretch/>
                  </pic:blipFill>
                  <pic:spPr bwMode="auto">
                    <a:xfrm>
                      <a:off x="0" y="0"/>
                      <a:ext cx="5600700"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2AB8" w:rsidRPr="00522AB8">
        <w:rPr>
          <w:rFonts w:ascii="Tahoma" w:eastAsia="Aptos" w:hAnsi="Tahoma" w:cs="Tahoma"/>
          <w:b/>
          <w:kern w:val="0"/>
          <w:lang w:val="es-ES" w:eastAsia="es-CO"/>
          <w14:ligatures w14:val="none"/>
        </w:rPr>
        <w:t xml:space="preserve">Integrantes del equipo </w:t>
      </w:r>
      <w:sdt>
        <w:sdtPr>
          <w:rPr>
            <w:rFonts w:ascii="Tahoma" w:eastAsia="Aptos" w:hAnsi="Tahoma" w:cs="Tahoma"/>
            <w:kern w:val="0"/>
            <w:lang w:val="es-ES" w:eastAsia="es-CO"/>
            <w14:ligatures w14:val="none"/>
          </w:rPr>
          <w:tag w:val="goog_rdk_0"/>
          <w:id w:val="-230773522"/>
        </w:sdtPr>
        <w:sdtEndPr/>
        <w:sdtContent/>
      </w:sdt>
      <w:r w:rsidR="00522AB8" w:rsidRPr="00522AB8">
        <w:rPr>
          <w:rFonts w:ascii="Tahoma" w:eastAsia="Aptos" w:hAnsi="Tahoma" w:cs="Tahoma"/>
          <w:b/>
          <w:kern w:val="0"/>
          <w:lang w:val="es-ES" w:eastAsia="es-CO"/>
          <w14:ligatures w14:val="none"/>
        </w:rPr>
        <w:t>directivo</w:t>
      </w:r>
      <w:r w:rsidR="00006683">
        <w:rPr>
          <w:rFonts w:ascii="Tahoma" w:eastAsia="Aptos" w:hAnsi="Tahoma" w:cs="Tahoma"/>
          <w:b/>
          <w:kern w:val="0"/>
          <w:lang w:val="es-ES" w:eastAsia="es-CO"/>
          <w14:ligatures w14:val="none"/>
        </w:rPr>
        <w:t xml:space="preserve"> de TRANSELCA</w:t>
      </w:r>
      <w:r w:rsidR="00522AB8" w:rsidRPr="00522AB8">
        <w:rPr>
          <w:rFonts w:ascii="Tahoma" w:eastAsia="Aptos" w:hAnsi="Tahoma" w:cs="Tahoma"/>
          <w:b/>
          <w:kern w:val="0"/>
          <w:lang w:val="es-ES" w:eastAsia="es-CO"/>
          <w14:ligatures w14:val="none"/>
        </w:rPr>
        <w:t>:</w:t>
      </w:r>
    </w:p>
    <w:p w14:paraId="597F4E53" w14:textId="3344B897" w:rsidR="00522AB8" w:rsidRDefault="00522AB8" w:rsidP="00522AB8">
      <w:pPr>
        <w:jc w:val="both"/>
        <w:rPr>
          <w:rFonts w:ascii="Tahoma" w:eastAsia="Aptos" w:hAnsi="Tahoma" w:cs="Tahoma"/>
          <w:noProof/>
          <w:kern w:val="0"/>
          <w:lang w:eastAsia="es-CO"/>
          <w14:ligatures w14:val="none"/>
        </w:rPr>
      </w:pPr>
    </w:p>
    <w:p w14:paraId="03ECB281" w14:textId="77777777" w:rsidR="00522AB8" w:rsidRPr="00B203FB" w:rsidRDefault="00522AB8" w:rsidP="00164509">
      <w:pPr>
        <w:numPr>
          <w:ilvl w:val="0"/>
          <w:numId w:val="122"/>
        </w:numPr>
        <w:spacing w:after="0" w:line="240" w:lineRule="auto"/>
        <w:jc w:val="both"/>
        <w:rPr>
          <w:rFonts w:ascii="Tahoma" w:eastAsia="Aptos" w:hAnsi="Tahoma" w:cs="Tahoma"/>
          <w:kern w:val="0"/>
          <w:lang w:val="pt-BR" w:eastAsia="es-CO"/>
          <w14:ligatures w14:val="none"/>
        </w:rPr>
      </w:pPr>
      <w:r w:rsidRPr="00B203FB">
        <w:rPr>
          <w:rFonts w:ascii="Tahoma" w:eastAsia="Aptos" w:hAnsi="Tahoma" w:cs="Tahoma"/>
          <w:kern w:val="0"/>
          <w:lang w:val="pt-BR" w:eastAsia="es-CO"/>
          <w14:ligatures w14:val="none"/>
        </w:rPr>
        <w:t>Brenda Rodríguez Tovar -Gerente General </w:t>
      </w:r>
    </w:p>
    <w:p w14:paraId="2A88A501"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Luis Posada Sánchez - Secretario General</w:t>
      </w:r>
    </w:p>
    <w:p w14:paraId="572EDC4C"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Amado José Bermúdez Noguera - Auditor Interno y Oficial de cumplimiento</w:t>
      </w:r>
    </w:p>
    <w:p w14:paraId="3BC62DA5"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Carlos Linero Serrano - Gerente de Producción </w:t>
      </w:r>
    </w:p>
    <w:p w14:paraId="3CD1EB35"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Rodolfo Smit Kinderman - Gerente de Negocios B2B Colombia </w:t>
      </w:r>
    </w:p>
    <w:p w14:paraId="5C39290B"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Roberto García Riascos - Gerente Administrativo </w:t>
      </w:r>
    </w:p>
    <w:p w14:paraId="17E86E34" w14:textId="77777777" w:rsidR="00522AB8" w:rsidRPr="00522AB8" w:rsidRDefault="00522AB8" w:rsidP="00164509">
      <w:pPr>
        <w:numPr>
          <w:ilvl w:val="0"/>
          <w:numId w:val="122"/>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Margarita Rosa Barona Taboada - Gerente Financiera</w:t>
      </w:r>
    </w:p>
    <w:p w14:paraId="4AD8873F" w14:textId="77777777" w:rsidR="00522AB8" w:rsidRPr="00522AB8" w:rsidRDefault="00522AB8" w:rsidP="00522AB8">
      <w:pPr>
        <w:ind w:left="720"/>
        <w:jc w:val="both"/>
        <w:rPr>
          <w:rFonts w:ascii="Tahoma" w:eastAsia="Aptos" w:hAnsi="Tahoma" w:cs="Tahoma"/>
          <w:kern w:val="0"/>
          <w:lang w:val="es-ES" w:eastAsia="es-CO"/>
          <w14:ligatures w14:val="none"/>
        </w:rPr>
      </w:pPr>
    </w:p>
    <w:p w14:paraId="6FC96B3A" w14:textId="77777777" w:rsidR="00522AB8" w:rsidRPr="008F77D6" w:rsidRDefault="00522AB8" w:rsidP="00164509">
      <w:pPr>
        <w:numPr>
          <w:ilvl w:val="0"/>
          <w:numId w:val="123"/>
        </w:numPr>
        <w:spacing w:after="0" w:line="240" w:lineRule="auto"/>
        <w:jc w:val="both"/>
        <w:rPr>
          <w:rFonts w:ascii="Tahoma" w:eastAsia="Aptos" w:hAnsi="Tahoma" w:cs="Tahoma"/>
          <w:kern w:val="0"/>
          <w:lang w:val="en-US" w:eastAsia="es-CO"/>
          <w14:ligatures w14:val="none"/>
        </w:rPr>
      </w:pPr>
      <w:r w:rsidRPr="008F77D6">
        <w:rPr>
          <w:rFonts w:ascii="Tahoma" w:eastAsia="Aptos" w:hAnsi="Tahoma" w:cs="Tahoma"/>
          <w:kern w:val="0"/>
          <w:lang w:val="en-US" w:eastAsia="es-CO"/>
          <w14:ligatures w14:val="none"/>
        </w:rPr>
        <w:t>Ernst &amp; Young Audit S.A.S. Revisoría Fiscal </w:t>
      </w:r>
    </w:p>
    <w:p w14:paraId="1D238D21" w14:textId="77777777" w:rsidR="00522AB8" w:rsidRPr="00466666" w:rsidRDefault="00522AB8" w:rsidP="00164509">
      <w:pPr>
        <w:numPr>
          <w:ilvl w:val="0"/>
          <w:numId w:val="123"/>
        </w:numPr>
        <w:spacing w:after="0" w:line="240" w:lineRule="auto"/>
        <w:jc w:val="both"/>
        <w:rPr>
          <w:rFonts w:ascii="Tahoma" w:eastAsia="Aptos" w:hAnsi="Tahoma" w:cs="Tahoma"/>
          <w:kern w:val="0"/>
          <w:lang w:val="pt-BR" w:eastAsia="es-CO"/>
          <w14:ligatures w14:val="none"/>
        </w:rPr>
      </w:pPr>
      <w:r w:rsidRPr="008F77D6">
        <w:rPr>
          <w:rFonts w:ascii="Tahoma" w:eastAsia="Aptos" w:hAnsi="Tahoma" w:cs="Tahoma"/>
          <w:kern w:val="0"/>
          <w:lang w:val="en-US" w:eastAsia="es-CO"/>
          <w14:ligatures w14:val="none"/>
        </w:rPr>
        <w:t> </w:t>
      </w:r>
      <w:r w:rsidRPr="00466666">
        <w:rPr>
          <w:rFonts w:ascii="Tahoma" w:eastAsia="Aptos" w:hAnsi="Tahoma" w:cs="Tahoma"/>
          <w:kern w:val="0"/>
          <w:lang w:val="pt-BR" w:eastAsia="es-CO"/>
          <w14:ligatures w14:val="none"/>
        </w:rPr>
        <w:t>Mónica Lucia Bernal Rua, Revisor Principal </w:t>
      </w:r>
    </w:p>
    <w:p w14:paraId="77E9E49B" w14:textId="77777777" w:rsidR="00522AB8" w:rsidRPr="00522AB8" w:rsidRDefault="00522AB8" w:rsidP="00164509">
      <w:pPr>
        <w:numPr>
          <w:ilvl w:val="0"/>
          <w:numId w:val="123"/>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Darwin Rafael López Charris, Revisor Suplente</w:t>
      </w:r>
    </w:p>
    <w:p w14:paraId="62F4024C" w14:textId="77777777" w:rsidR="00522AB8" w:rsidRPr="00522AB8" w:rsidRDefault="00522AB8" w:rsidP="00522AB8">
      <w:pPr>
        <w:jc w:val="both"/>
        <w:rPr>
          <w:rFonts w:ascii="Tahoma" w:eastAsia="Aptos" w:hAnsi="Tahoma" w:cs="Tahoma"/>
          <w:kern w:val="0"/>
          <w:lang w:val="es-ES" w:eastAsia="es-CO"/>
          <w14:ligatures w14:val="none"/>
        </w:rPr>
      </w:pPr>
    </w:p>
    <w:p w14:paraId="4608FE57"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 xml:space="preserve">Delegación de la responsabilidad de gestión de los impactos </w:t>
      </w:r>
    </w:p>
    <w:p w14:paraId="62123C8D" w14:textId="77777777" w:rsidR="00522AB8" w:rsidRPr="00BE2B68"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kern w:val="0"/>
          <w:lang w:val="es-ES" w:eastAsia="es-CO"/>
          <w14:ligatures w14:val="none"/>
        </w:rPr>
        <w:t xml:space="preserve">Por decisión de la Junta Directiva se delegó la responsabilidad de gestionar los impactos sociales y ambientales a la Gerencia de Administración en la Dirección de Planeación Corporativa que cuenta con un equipo social y ambiental. Por su </w:t>
      </w:r>
      <w:r w:rsidRPr="00522AB8">
        <w:rPr>
          <w:rFonts w:ascii="Tahoma" w:eastAsia="Aptos" w:hAnsi="Tahoma" w:cs="Tahoma"/>
          <w:kern w:val="0"/>
          <w:lang w:val="es-ES" w:eastAsia="es-CO"/>
          <w14:ligatures w14:val="none"/>
        </w:rPr>
        <w:lastRenderedPageBreak/>
        <w:t xml:space="preserve">parte, los impactos financieros están a cargo de la Gerencia Financiera. </w:t>
      </w:r>
      <w:r w:rsidRPr="00BE2B68">
        <w:rPr>
          <w:rFonts w:ascii="Tahoma" w:eastAsia="Aptos" w:hAnsi="Tahoma" w:cs="Tahoma"/>
          <w:b/>
          <w:color w:val="0070C0"/>
          <w:kern w:val="0"/>
          <w:lang w:val="es-ES" w:eastAsia="es-CO"/>
          <w14:ligatures w14:val="none"/>
        </w:rPr>
        <w:t>GRI 2-13</w:t>
      </w:r>
    </w:p>
    <w:p w14:paraId="70A9CB1B"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Prevenir y mitigar los conflictos de intereses en la Junta Directiva </w:t>
      </w:r>
    </w:p>
    <w:p w14:paraId="3CE1BB8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GRI 2-15 </w:t>
      </w:r>
    </w:p>
    <w:p w14:paraId="3AE2FE88"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¿Cuándo se puede presentar conflicto de intereses?</w:t>
      </w:r>
    </w:p>
    <w:p w14:paraId="314B89DD"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Cuando los miembros de la Junta Directiva, debido a sus funciones, al tomar una decisión o realizar u omitir una acción, tienen la posibilidad de escoger entre el interés de la sociedad, su propio interés o el del tercero; y optan por cualquiera de estos dos últimos, comprometiendo su objetividad e independencia. </w:t>
      </w:r>
    </w:p>
    <w:p w14:paraId="39F4B0B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También lo constituye el intervenir directa o indirectamente en las actividades y decisiones que tengan relación con las determinaciones sociales referentes al conflicto o al cesar toda actuación cuando tenga conocimiento de la situación de conflicto de interés. </w:t>
      </w:r>
      <w:r w:rsidRPr="00BE2B68">
        <w:rPr>
          <w:rFonts w:ascii="Tahoma" w:eastAsia="Aptos" w:hAnsi="Tahoma" w:cs="Tahoma"/>
          <w:b/>
          <w:color w:val="0070C0"/>
          <w:kern w:val="0"/>
          <w:lang w:val="es-ES" w:eastAsia="es-CO"/>
          <w14:ligatures w14:val="none"/>
        </w:rPr>
        <w:t>GRI 2-15.</w:t>
      </w:r>
    </w:p>
    <w:p w14:paraId="7B2B1BC3" w14:textId="77777777" w:rsidR="00522AB8" w:rsidRPr="00522AB8" w:rsidRDefault="00522AB8" w:rsidP="00522AB8">
      <w:pPr>
        <w:jc w:val="both"/>
        <w:rPr>
          <w:rFonts w:ascii="Tahoma" w:eastAsia="Aptos" w:hAnsi="Tahoma" w:cs="Tahoma"/>
          <w:b/>
          <w:kern w:val="0"/>
          <w:lang w:val="es-ES" w:eastAsia="es-CO"/>
          <w14:ligatures w14:val="none"/>
        </w:rPr>
      </w:pPr>
    </w:p>
    <w:p w14:paraId="3FD50126"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¿Cómo se previenen?</w:t>
      </w:r>
    </w:p>
    <w:p w14:paraId="6999EBA3" w14:textId="77777777" w:rsidR="00522AB8" w:rsidRPr="00A82AD1"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kern w:val="0"/>
          <w:lang w:val="es-ES" w:eastAsia="es-CO"/>
          <w14:ligatures w14:val="none"/>
        </w:rPr>
        <w:t xml:space="preserve">La prevención por conflicto de intereses se hacer mediante políticas claras y procedimientos específicos, la declaración de intereses por parte de sus miembros, la supervisión de comités de ética y auditoría, la transparencia y comunicación abierta, la capacitación continua, las auditorías internas y externas, y la implementación de mecanismos de reporte seguros y confidenciales. </w:t>
      </w:r>
      <w:r w:rsidRPr="00A82AD1">
        <w:rPr>
          <w:rFonts w:ascii="Tahoma" w:eastAsia="Aptos" w:hAnsi="Tahoma" w:cs="Tahoma"/>
          <w:b/>
          <w:color w:val="0070C0"/>
          <w:kern w:val="0"/>
          <w:lang w:val="es-ES" w:eastAsia="es-CO"/>
          <w14:ligatures w14:val="none"/>
        </w:rPr>
        <w:t>GRI 2-15.a</w:t>
      </w:r>
    </w:p>
    <w:p w14:paraId="50F1CE71"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¿Cómo se gestiona? </w:t>
      </w:r>
    </w:p>
    <w:p w14:paraId="6789930D"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Si existe duda respecto de la configuración de actos que impliquen conflictos de interés es deber del miembro de Junta Directiva abstenerse de participar en las actividades respectivas. De estas circunstancias se debe dejar constancia. </w:t>
      </w:r>
    </w:p>
    <w:p w14:paraId="23DB36EF"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Los conflictos de interés, que se informan a las partes interesadas están relacionados con:</w:t>
      </w:r>
      <w:r w:rsidRPr="00A82AD1">
        <w:rPr>
          <w:rFonts w:ascii="Tahoma" w:eastAsia="Aptos" w:hAnsi="Tahoma" w:cs="Tahoma"/>
          <w:b/>
          <w:color w:val="0070C0"/>
          <w:kern w:val="0"/>
          <w:lang w:val="es-ES" w:eastAsia="es-CO"/>
          <w14:ligatures w14:val="none"/>
        </w:rPr>
        <w:t>2-15.a</w:t>
      </w:r>
    </w:p>
    <w:p w14:paraId="2BD7472B" w14:textId="77777777" w:rsidR="00522AB8" w:rsidRPr="00522AB8" w:rsidRDefault="00522AB8" w:rsidP="00164509">
      <w:pPr>
        <w:numPr>
          <w:ilvl w:val="0"/>
          <w:numId w:val="124"/>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Membresía cruzada.</w:t>
      </w:r>
    </w:p>
    <w:p w14:paraId="7CD1F603" w14:textId="77777777" w:rsidR="00522AB8" w:rsidRPr="00522AB8" w:rsidRDefault="00522AB8" w:rsidP="00164509">
      <w:pPr>
        <w:numPr>
          <w:ilvl w:val="0"/>
          <w:numId w:val="124"/>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Participación cruzada con proveedores y otras partes interesadas.</w:t>
      </w:r>
    </w:p>
    <w:p w14:paraId="1DD7D68A" w14:textId="77777777" w:rsidR="00522AB8" w:rsidRPr="00522AB8" w:rsidRDefault="00522AB8" w:rsidP="00164509">
      <w:pPr>
        <w:numPr>
          <w:ilvl w:val="0"/>
          <w:numId w:val="124"/>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Existencia de accionistas mayoritarios.</w:t>
      </w:r>
    </w:p>
    <w:p w14:paraId="7C4E32F0" w14:textId="77777777" w:rsidR="00522AB8" w:rsidRPr="00522AB8" w:rsidRDefault="00522AB8" w:rsidP="00164509">
      <w:pPr>
        <w:numPr>
          <w:ilvl w:val="0"/>
          <w:numId w:val="124"/>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Partes relacionadas, sus relaciones, transacciones y saldos pendientes.</w:t>
      </w:r>
    </w:p>
    <w:p w14:paraId="5F0513FA" w14:textId="77777777" w:rsidR="00522AB8" w:rsidRPr="00522AB8" w:rsidRDefault="00522AB8" w:rsidP="00522AB8">
      <w:pPr>
        <w:spacing w:after="0" w:line="240" w:lineRule="auto"/>
        <w:ind w:left="720"/>
        <w:jc w:val="both"/>
        <w:rPr>
          <w:rFonts w:ascii="Tahoma" w:eastAsia="Aptos" w:hAnsi="Tahoma" w:cs="Tahoma"/>
          <w:kern w:val="0"/>
          <w:lang w:val="es-ES" w:eastAsia="es-CO"/>
          <w14:ligatures w14:val="none"/>
        </w:rPr>
      </w:pPr>
    </w:p>
    <w:p w14:paraId="60DC4226"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En 2024 no se presentaron conflictos de interés. </w:t>
      </w:r>
    </w:p>
    <w:p w14:paraId="7CE28DF5"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Comunicación de las inquietudes críticas</w:t>
      </w:r>
    </w:p>
    <w:p w14:paraId="1A6CEE43"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lastRenderedPageBreak/>
        <w:t>En TRANSELCA, las inquietudes críticas se comunican al máximo órgano de gobierno a través de varios mecanismos formales:</w:t>
      </w:r>
    </w:p>
    <w:p w14:paraId="5FFD365D" w14:textId="77777777" w:rsidR="00522AB8" w:rsidRPr="00522AB8" w:rsidRDefault="00522AB8" w:rsidP="00164509">
      <w:pPr>
        <w:numPr>
          <w:ilvl w:val="0"/>
          <w:numId w:val="125"/>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Reuniones de la Junta Directiva con informes y temas críticos durante las sesiones regulares.</w:t>
      </w:r>
    </w:p>
    <w:p w14:paraId="101B6634" w14:textId="77777777" w:rsidR="00522AB8" w:rsidRPr="00522AB8" w:rsidRDefault="00522AB8" w:rsidP="00164509">
      <w:pPr>
        <w:numPr>
          <w:ilvl w:val="0"/>
          <w:numId w:val="125"/>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Comités especializados utilizando comités de auditoría y riesgos para elevar preocupaciones específicas.</w:t>
      </w:r>
    </w:p>
    <w:p w14:paraId="062C9942" w14:textId="77777777" w:rsidR="00522AB8" w:rsidRPr="00522AB8" w:rsidRDefault="00522AB8" w:rsidP="00164509">
      <w:pPr>
        <w:numPr>
          <w:ilvl w:val="0"/>
          <w:numId w:val="125"/>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Informes formales a través de reportes escritos que detallan los problemas críticos y las posibles soluciones.</w:t>
      </w:r>
    </w:p>
    <w:p w14:paraId="78002D93" w14:textId="77777777" w:rsidR="00522AB8" w:rsidRPr="00522AB8" w:rsidRDefault="00522AB8" w:rsidP="00164509">
      <w:pPr>
        <w:numPr>
          <w:ilvl w:val="0"/>
          <w:numId w:val="125"/>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Auditorías internas y externas utilizando los resultados de auditorías para resaltar problemas y recomendaciones.</w:t>
      </w:r>
    </w:p>
    <w:p w14:paraId="39E14DE0" w14:textId="77777777" w:rsidR="00522AB8" w:rsidRPr="00522AB8" w:rsidRDefault="00522AB8" w:rsidP="00164509">
      <w:pPr>
        <w:numPr>
          <w:ilvl w:val="0"/>
          <w:numId w:val="125"/>
        </w:numPr>
        <w:spacing w:after="0" w:line="240" w:lineRule="auto"/>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Canales de comunicación directa entre los empleados y los miembros del órgano de gobierno.</w:t>
      </w:r>
    </w:p>
    <w:p w14:paraId="13754C64" w14:textId="77777777" w:rsidR="00522AB8" w:rsidRPr="00522AB8" w:rsidRDefault="00522AB8" w:rsidP="00522AB8">
      <w:pPr>
        <w:spacing w:after="0" w:line="240" w:lineRule="auto"/>
        <w:ind w:left="720"/>
        <w:jc w:val="both"/>
        <w:rPr>
          <w:rFonts w:ascii="Tahoma" w:eastAsia="Aptos" w:hAnsi="Tahoma" w:cs="Tahoma"/>
          <w:kern w:val="0"/>
          <w:lang w:val="es-ES" w:eastAsia="es-CO"/>
          <w14:ligatures w14:val="none"/>
        </w:rPr>
      </w:pPr>
    </w:p>
    <w:p w14:paraId="16004CC8"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Estos métodos aseguran que las preocupaciones relevantes sean adecuadamente escuchadas y abordadas.</w:t>
      </w:r>
      <w:r w:rsidRPr="00522AB8">
        <w:rPr>
          <w:rFonts w:ascii="Tahoma" w:eastAsia="Aptos" w:hAnsi="Tahoma" w:cs="Tahoma"/>
          <w:b/>
          <w:kern w:val="0"/>
          <w:lang w:val="es-ES" w:eastAsia="es-CO"/>
          <w14:ligatures w14:val="none"/>
        </w:rPr>
        <w:t xml:space="preserve"> </w:t>
      </w:r>
      <w:r w:rsidRPr="00A82AD1">
        <w:rPr>
          <w:rFonts w:ascii="Tahoma" w:eastAsia="Aptos" w:hAnsi="Tahoma" w:cs="Tahoma"/>
          <w:b/>
          <w:color w:val="0070C0"/>
          <w:kern w:val="0"/>
          <w:lang w:val="es-ES" w:eastAsia="es-CO"/>
          <w14:ligatures w14:val="none"/>
        </w:rPr>
        <w:t>GRI 2-16.a</w:t>
      </w:r>
    </w:p>
    <w:p w14:paraId="248E4DD4" w14:textId="77777777" w:rsidR="00522AB8" w:rsidRPr="00A82AD1" w:rsidRDefault="00522AB8" w:rsidP="00522AB8">
      <w:pPr>
        <w:jc w:val="both"/>
        <w:rPr>
          <w:rFonts w:ascii="Tahoma" w:eastAsia="Aptos" w:hAnsi="Tahoma" w:cs="Tahoma"/>
          <w:color w:val="0070C0"/>
          <w:kern w:val="0"/>
          <w:lang w:val="es-ES" w:eastAsia="es-CO"/>
          <w14:ligatures w14:val="none"/>
        </w:rPr>
      </w:pPr>
      <w:r w:rsidRPr="00522AB8">
        <w:rPr>
          <w:rFonts w:ascii="Tahoma" w:eastAsia="Aptos" w:hAnsi="Tahoma" w:cs="Tahoma"/>
          <w:b/>
          <w:kern w:val="0"/>
          <w:lang w:val="es-ES" w:eastAsia="es-CO"/>
          <w14:ligatures w14:val="none"/>
        </w:rPr>
        <w:t xml:space="preserve">Nota: </w:t>
      </w:r>
      <w:r w:rsidRPr="00522AB8">
        <w:rPr>
          <w:rFonts w:ascii="Tahoma" w:eastAsia="Aptos" w:hAnsi="Tahoma" w:cs="Tahoma"/>
          <w:kern w:val="0"/>
          <w:lang w:val="es-ES" w:eastAsia="es-CO"/>
          <w14:ligatures w14:val="none"/>
        </w:rPr>
        <w:t xml:space="preserve">En el 2024 el máximo órgano de gobierno no fue informado de comunicaciones críticas. </w:t>
      </w:r>
      <w:r w:rsidRPr="00A82AD1">
        <w:rPr>
          <w:rFonts w:ascii="Tahoma" w:eastAsia="Aptos" w:hAnsi="Tahoma" w:cs="Tahoma"/>
          <w:b/>
          <w:color w:val="0070C0"/>
          <w:kern w:val="0"/>
          <w:lang w:val="es-ES" w:eastAsia="es-CO"/>
          <w14:ligatures w14:val="none"/>
        </w:rPr>
        <w:t>GRI 2-16. b</w:t>
      </w:r>
    </w:p>
    <w:p w14:paraId="024C8833"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Remuneración de la Junta Directiva</w:t>
      </w:r>
    </w:p>
    <w:p w14:paraId="4D11B942"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De acuerdo con los estatutos sociales, corresponde a la Asamblea de Accionistas fijar cada año la remuneración de los miembros que será igual para. No obstante, podrá establecer una remuneración diferenciada para el presidente de la Junta Directiva y presidentes de los Comités de Junta en consideración a las responsabilidades especiales y mayor dedicación de tiempo que requiera dicho cargo. </w:t>
      </w:r>
    </w:p>
    <w:p w14:paraId="3BFD03AD" w14:textId="77777777" w:rsidR="00522AB8" w:rsidRPr="00A82AD1" w:rsidRDefault="00522AB8" w:rsidP="00522AB8">
      <w:pPr>
        <w:jc w:val="both"/>
        <w:rPr>
          <w:rFonts w:ascii="Tahoma" w:eastAsia="Aptos" w:hAnsi="Tahoma" w:cs="Tahoma"/>
          <w:b/>
          <w:bCs/>
          <w:color w:val="0070C0"/>
          <w:kern w:val="0"/>
          <w:lang w:val="es-ES" w:eastAsia="es-CO"/>
          <w14:ligatures w14:val="none"/>
        </w:rPr>
      </w:pPr>
      <w:r w:rsidRPr="00522AB8">
        <w:rPr>
          <w:rFonts w:ascii="Tahoma" w:eastAsia="Aptos" w:hAnsi="Tahoma" w:cs="Tahoma"/>
          <w:kern w:val="0"/>
          <w:lang w:val="es-ES" w:eastAsia="es-CO"/>
          <w14:ligatures w14:val="none"/>
        </w:rPr>
        <w:t xml:space="preserve">Los honorarios definidos para cada reunión a la que asistan estarán expresados en términos de Unidad de Valor Tributario (UVT). Para determinar esta cuantía, se considerarán referencias de mercado de compañías similares o comparables con ISA. </w:t>
      </w:r>
      <w:r w:rsidRPr="00A82AD1">
        <w:rPr>
          <w:rFonts w:ascii="Tahoma" w:eastAsia="Aptos" w:hAnsi="Tahoma" w:cs="Tahoma"/>
          <w:b/>
          <w:bCs/>
          <w:color w:val="0070C0"/>
          <w:kern w:val="0"/>
          <w:lang w:val="es-ES" w:eastAsia="es-CO"/>
          <w14:ligatures w14:val="none"/>
        </w:rPr>
        <w:t>GRI 2-19; GRI 2-20. </w:t>
      </w:r>
    </w:p>
    <w:p w14:paraId="7482E780"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b/>
          <w:kern w:val="0"/>
          <w:lang w:val="es-ES" w:eastAsia="es-CO"/>
          <w14:ligatures w14:val="none"/>
        </w:rPr>
        <w:t>Evaluación del desempeño del máximo órgano de gobierno</w:t>
      </w:r>
    </w:p>
    <w:p w14:paraId="5CF809AB" w14:textId="77777777" w:rsidR="00522AB8" w:rsidRPr="00522AB8" w:rsidRDefault="00522AB8" w:rsidP="00522AB8">
      <w:p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Los miembros de la Junta Directiva realizan una autoevaluación una vez al año, la cual incluye temas relacionados con la sostenibilidad y la gestión de los impactos en la economía, el medio ambiente y las personas asociadas al negocio. </w:t>
      </w:r>
      <w:r w:rsidRPr="00522AB8">
        <w:rPr>
          <w:rFonts w:ascii="Tahoma" w:eastAsia="Aptos" w:hAnsi="Tahoma" w:cs="Tahoma"/>
          <w:b/>
          <w:kern w:val="0"/>
          <w:lang w:val="es-ES" w:eastAsia="es-CO"/>
          <w14:ligatures w14:val="none"/>
        </w:rPr>
        <w:t>GRI 2-18.a; GRI 2-18.a</w:t>
      </w:r>
    </w:p>
    <w:p w14:paraId="3297BBD0" w14:textId="77777777" w:rsidR="00522AB8" w:rsidRPr="00522AB8" w:rsidRDefault="00522AB8" w:rsidP="00522AB8">
      <w:pPr>
        <w:jc w:val="both"/>
        <w:rPr>
          <w:rFonts w:ascii="Tahoma" w:eastAsia="Aptos" w:hAnsi="Tahoma" w:cs="Tahoma"/>
          <w:b/>
          <w:kern w:val="0"/>
          <w:lang w:val="es-ES" w:eastAsia="es-CO"/>
          <w14:ligatures w14:val="none"/>
        </w:rPr>
      </w:pPr>
    </w:p>
    <w:p w14:paraId="020CFA7A" w14:textId="77777777" w:rsidR="00522AB8" w:rsidRPr="00522AB8" w:rsidRDefault="00522AB8" w:rsidP="00522AB8">
      <w:pPr>
        <w:jc w:val="both"/>
        <w:rPr>
          <w:rFonts w:ascii="Tahoma" w:eastAsia="Aptos" w:hAnsi="Tahoma" w:cs="Tahoma"/>
          <w:b/>
          <w:kern w:val="0"/>
          <w:lang w:val="es-ES" w:eastAsia="es-CO"/>
          <w14:ligatures w14:val="none"/>
        </w:rPr>
      </w:pPr>
      <w:r w:rsidRPr="00522AB8">
        <w:rPr>
          <w:rFonts w:ascii="Tahoma" w:eastAsia="Aptos" w:hAnsi="Tahoma" w:cs="Tahoma"/>
          <w:b/>
          <w:kern w:val="0"/>
          <w:lang w:val="es-ES" w:eastAsia="es-CO"/>
          <w14:ligatures w14:val="none"/>
        </w:rPr>
        <w:t xml:space="preserve">Comités TRANSELCA </w:t>
      </w:r>
    </w:p>
    <w:p w14:paraId="4C24D666" w14:textId="25DBBC49" w:rsidR="00866856" w:rsidRPr="00CC0115" w:rsidRDefault="00522AB8" w:rsidP="00866856">
      <w:pPr>
        <w:jc w:val="both"/>
        <w:rPr>
          <w:rFonts w:ascii="Tahoma" w:eastAsia="Aptos" w:hAnsi="Tahoma" w:cs="Tahoma"/>
          <w:kern w:val="0"/>
          <w:lang w:eastAsia="es-CO"/>
          <w14:ligatures w14:val="none"/>
        </w:rPr>
      </w:pPr>
      <w:r w:rsidRPr="00CC0115">
        <w:rPr>
          <w:rFonts w:ascii="Tahoma" w:eastAsia="Aptos" w:hAnsi="Tahoma" w:cs="Tahoma"/>
          <w:kern w:val="0"/>
          <w:lang w:eastAsia="es-CO"/>
          <w14:ligatures w14:val="none"/>
        </w:rPr>
        <w:t xml:space="preserve">TRANSELCA cuenta </w:t>
      </w:r>
      <w:r w:rsidR="00D46DCD" w:rsidRPr="00CC0115">
        <w:rPr>
          <w:rFonts w:ascii="Tahoma" w:eastAsia="Aptos" w:hAnsi="Tahoma" w:cs="Tahoma"/>
          <w:kern w:val="0"/>
          <w:lang w:eastAsia="es-CO"/>
          <w14:ligatures w14:val="none"/>
        </w:rPr>
        <w:t xml:space="preserve">diferentes comités </w:t>
      </w:r>
      <w:r w:rsidR="00AF2B59">
        <w:rPr>
          <w:rFonts w:ascii="Tahoma" w:eastAsia="Aptos" w:hAnsi="Tahoma" w:cs="Tahoma"/>
          <w:kern w:val="0"/>
          <w:lang w:eastAsia="es-CO"/>
          <w14:ligatures w14:val="none"/>
        </w:rPr>
        <w:t xml:space="preserve">que representan a los trabajadores y a la empresa, como son: </w:t>
      </w:r>
      <w:r w:rsidR="00CC0115">
        <w:rPr>
          <w:rFonts w:ascii="Tahoma" w:eastAsia="Aptos" w:hAnsi="Tahoma" w:cs="Tahoma"/>
          <w:kern w:val="0"/>
          <w:lang w:eastAsia="es-CO"/>
          <w14:ligatures w14:val="none"/>
        </w:rPr>
        <w:t xml:space="preserve"> </w:t>
      </w:r>
    </w:p>
    <w:p w14:paraId="08DBEE09" w14:textId="77777777" w:rsidR="009B551C" w:rsidRPr="009B551C" w:rsidRDefault="00522AB8" w:rsidP="00164509">
      <w:pPr>
        <w:pStyle w:val="Prrafodelista"/>
        <w:numPr>
          <w:ilvl w:val="0"/>
          <w:numId w:val="150"/>
        </w:numPr>
        <w:jc w:val="both"/>
        <w:rPr>
          <w:rFonts w:ascii="Tahoma" w:eastAsia="Aptos" w:hAnsi="Tahoma" w:cs="Tahoma"/>
          <w:kern w:val="0"/>
          <w:lang w:val="es-ES" w:eastAsia="es-CO"/>
          <w14:ligatures w14:val="none"/>
        </w:rPr>
      </w:pPr>
      <w:r w:rsidRPr="009B551C">
        <w:rPr>
          <w:rFonts w:ascii="Tahoma" w:eastAsia="Aptos" w:hAnsi="Tahoma" w:cs="Tahoma"/>
          <w:kern w:val="0"/>
          <w:lang w:val="es-ES" w:eastAsia="es-CO"/>
          <w14:ligatures w14:val="none"/>
        </w:rPr>
        <w:lastRenderedPageBreak/>
        <w:t xml:space="preserve">Comité de Convivencia Laboral </w:t>
      </w:r>
    </w:p>
    <w:p w14:paraId="4F68F10A" w14:textId="2A9A9F3F" w:rsidR="00522AB8" w:rsidRPr="009B551C" w:rsidRDefault="00522AB8" w:rsidP="00164509">
      <w:pPr>
        <w:pStyle w:val="Prrafodelista"/>
        <w:numPr>
          <w:ilvl w:val="0"/>
          <w:numId w:val="150"/>
        </w:numPr>
        <w:jc w:val="both"/>
        <w:rPr>
          <w:rFonts w:ascii="Tahoma" w:eastAsia="Aptos" w:hAnsi="Tahoma" w:cs="Tahoma"/>
          <w:kern w:val="0"/>
          <w:lang w:val="es-ES" w:eastAsia="es-CO"/>
          <w14:ligatures w14:val="none"/>
        </w:rPr>
      </w:pPr>
      <w:r w:rsidRPr="009B551C">
        <w:rPr>
          <w:rFonts w:ascii="Tahoma" w:eastAsia="Aptos" w:hAnsi="Tahoma" w:cs="Tahoma"/>
          <w:kern w:val="0"/>
          <w:lang w:val="es-ES" w:eastAsia="es-CO"/>
          <w14:ligatures w14:val="none"/>
        </w:rPr>
        <w:t xml:space="preserve">Comité Paritario de Seguridad y Salud en el Trabajo (COPASST) </w:t>
      </w:r>
    </w:p>
    <w:p w14:paraId="07F3E4FA" w14:textId="77777777" w:rsidR="00522AB8" w:rsidRPr="00522AB8" w:rsidRDefault="00522AB8" w:rsidP="00164509">
      <w:pPr>
        <w:numPr>
          <w:ilvl w:val="0"/>
          <w:numId w:val="115"/>
        </w:numPr>
        <w:spacing w:after="0"/>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Comité Obrero Patronal </w:t>
      </w:r>
    </w:p>
    <w:p w14:paraId="32A40437" w14:textId="77777777" w:rsidR="00522AB8" w:rsidRPr="00522AB8" w:rsidRDefault="00522AB8" w:rsidP="00164509">
      <w:pPr>
        <w:numPr>
          <w:ilvl w:val="0"/>
          <w:numId w:val="115"/>
        </w:numPr>
        <w:spacing w:after="0"/>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Comité Estratégico de Innovación </w:t>
      </w:r>
    </w:p>
    <w:p w14:paraId="59429110" w14:textId="4755F43F" w:rsidR="00522AB8" w:rsidRPr="00522AB8" w:rsidRDefault="00522AB8" w:rsidP="00164509">
      <w:pPr>
        <w:numPr>
          <w:ilvl w:val="0"/>
          <w:numId w:val="115"/>
        </w:numPr>
        <w:jc w:val="both"/>
        <w:rPr>
          <w:rFonts w:ascii="Tahoma" w:eastAsia="Aptos" w:hAnsi="Tahoma" w:cs="Tahoma"/>
          <w:kern w:val="0"/>
          <w:lang w:val="es-ES" w:eastAsia="es-CO"/>
          <w14:ligatures w14:val="none"/>
        </w:rPr>
      </w:pPr>
      <w:r w:rsidRPr="00522AB8">
        <w:rPr>
          <w:rFonts w:ascii="Tahoma" w:eastAsia="Aptos" w:hAnsi="Tahoma" w:cs="Tahoma"/>
          <w:kern w:val="0"/>
          <w:lang w:val="es-ES" w:eastAsia="es-CO"/>
          <w14:ligatures w14:val="none"/>
        </w:rPr>
        <w:t xml:space="preserve">Comité Operativo de Innovación </w:t>
      </w:r>
    </w:p>
    <w:p w14:paraId="69C3FFE8" w14:textId="77777777" w:rsidR="00522AB8" w:rsidRPr="00F84F31" w:rsidRDefault="00522AB8" w:rsidP="00522AB8">
      <w:pPr>
        <w:jc w:val="both"/>
        <w:rPr>
          <w:rFonts w:ascii="Tahoma" w:eastAsia="Aptos" w:hAnsi="Tahoma" w:cs="Tahoma"/>
          <w:b/>
          <w:bCs/>
          <w:color w:val="0070C0"/>
          <w:kern w:val="0"/>
          <w:lang w:val="pt-BR" w:eastAsia="es-CO"/>
          <w14:ligatures w14:val="none"/>
        </w:rPr>
      </w:pPr>
      <w:r w:rsidRPr="00F84F31">
        <w:rPr>
          <w:rFonts w:ascii="Tahoma" w:eastAsia="Aptos" w:hAnsi="Tahoma" w:cs="Tahoma"/>
          <w:b/>
          <w:bCs/>
          <w:color w:val="0070C0"/>
          <w:kern w:val="0"/>
          <w:lang w:val="pt-BR" w:eastAsia="es-CO"/>
          <w14:ligatures w14:val="none"/>
        </w:rPr>
        <w:t>GRI 2-9.b</w:t>
      </w:r>
    </w:p>
    <w:p w14:paraId="31FCFFF2" w14:textId="77777777" w:rsidR="00522AB8" w:rsidRPr="00F84F31" w:rsidRDefault="00522AB8">
      <w:pPr>
        <w:rPr>
          <w:rFonts w:ascii="Calibri" w:hAnsi="Calibri" w:cs="Calibri"/>
          <w:sz w:val="52"/>
          <w:szCs w:val="52"/>
          <w:lang w:val="pt-BR"/>
        </w:rPr>
      </w:pPr>
    </w:p>
    <w:p w14:paraId="61687901"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454582B8"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2C1211BF"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3F7460C7"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2E1FF197"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563F084D"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4ADCF3B3"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0F6BE40C"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78A22464"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602C2A77"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7BA0DA60"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79BBD6FF"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01A694E5"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2848C0A6"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2824F069"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077F644D"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153E9832" w14:textId="77777777" w:rsidR="005272FF" w:rsidRPr="00F84F31" w:rsidRDefault="005272FF" w:rsidP="007D7F1C">
      <w:pPr>
        <w:spacing w:line="240" w:lineRule="auto"/>
        <w:rPr>
          <w:rFonts w:ascii="Tahoma" w:eastAsia="Aptos" w:hAnsi="Tahoma" w:cs="Tahoma"/>
          <w:b/>
          <w:kern w:val="0"/>
          <w:sz w:val="36"/>
          <w:lang w:val="pt-BR" w:eastAsia="es-CO"/>
          <w14:ligatures w14:val="none"/>
        </w:rPr>
      </w:pPr>
    </w:p>
    <w:p w14:paraId="3F628E16" w14:textId="6F608F21" w:rsidR="007D7F1C" w:rsidRPr="00F84F31" w:rsidRDefault="00377AA0" w:rsidP="007D7F1C">
      <w:pPr>
        <w:spacing w:line="240" w:lineRule="auto"/>
        <w:rPr>
          <w:rFonts w:ascii="Tahoma" w:eastAsia="Aptos" w:hAnsi="Tahoma" w:cs="Tahoma"/>
          <w:color w:val="0070C0"/>
          <w:kern w:val="0"/>
          <w:lang w:val="pt-BR" w:eastAsia="es-CO"/>
          <w14:ligatures w14:val="none"/>
        </w:rPr>
      </w:pPr>
      <w:r w:rsidRPr="00F84F31">
        <w:rPr>
          <w:rFonts w:ascii="Tahoma" w:eastAsia="Aptos" w:hAnsi="Tahoma" w:cs="Tahoma"/>
          <w:b/>
          <w:color w:val="0070C0"/>
          <w:kern w:val="0"/>
          <w:sz w:val="36"/>
          <w:lang w:val="pt-BR" w:eastAsia="es-CO"/>
          <w14:ligatures w14:val="none"/>
        </w:rPr>
        <w:lastRenderedPageBreak/>
        <w:t>Talento humano</w:t>
      </w:r>
    </w:p>
    <w:p w14:paraId="4E948DFD" w14:textId="77777777" w:rsidR="007D7F1C" w:rsidRPr="00F84F31" w:rsidRDefault="007D7F1C" w:rsidP="007D7F1C">
      <w:pPr>
        <w:spacing w:line="240" w:lineRule="auto"/>
        <w:rPr>
          <w:rFonts w:ascii="Tahoma" w:eastAsia="Aptos" w:hAnsi="Tahoma" w:cs="Tahoma"/>
          <w:b/>
          <w:color w:val="0070C0"/>
          <w:kern w:val="0"/>
          <w:sz w:val="20"/>
          <w:szCs w:val="20"/>
          <w:lang w:val="pt-BR" w:eastAsia="es-CO"/>
          <w14:ligatures w14:val="none"/>
        </w:rPr>
      </w:pPr>
      <w:r w:rsidRPr="00F84F31">
        <w:rPr>
          <w:rFonts w:ascii="Tahoma" w:eastAsia="Aptos" w:hAnsi="Tahoma" w:cs="Tahoma"/>
          <w:b/>
          <w:color w:val="0070C0"/>
          <w:kern w:val="0"/>
          <w:sz w:val="20"/>
          <w:szCs w:val="20"/>
          <w:lang w:val="pt-BR" w:eastAsia="es-CO"/>
          <w14:ligatures w14:val="none"/>
        </w:rPr>
        <w:t>GRI 2-7 GRI 2-8 GRI 2-30 </w:t>
      </w:r>
    </w:p>
    <w:p w14:paraId="341813C1"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Como reflejo de su compromiso para posicionarse como un empleador atractivo y deseable TRANSELCA solo contempla la jornada de tiempo completo y todos sus empleados cumplen con el horario y las horas extras remuneradas de acuerdo con la ley.</w:t>
      </w:r>
    </w:p>
    <w:p w14:paraId="1ABA9BB9"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Así mismo toda su planta de personal recibe otros beneficios como primas extralegales, auxilio familiar, plan adicional de salud, seguro de vida, incentivo al ahorro, entre otros.</w:t>
      </w:r>
    </w:p>
    <w:p w14:paraId="03F4BC10" w14:textId="77777777" w:rsidR="007D7F1C" w:rsidRPr="007D7F1C" w:rsidRDefault="007D7F1C" w:rsidP="007D7F1C">
      <w:pPr>
        <w:spacing w:line="240" w:lineRule="auto"/>
        <w:jc w:val="both"/>
        <w:rPr>
          <w:rFonts w:ascii="Tahoma" w:eastAsia="Aptos" w:hAnsi="Tahoma" w:cs="Tahoma"/>
          <w:kern w:val="0"/>
          <w:lang w:val="es-ES" w:eastAsia="es-CO"/>
          <w14:ligatures w14:val="none"/>
        </w:rPr>
      </w:pPr>
    </w:p>
    <w:p w14:paraId="5EDF599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GRI 2-7</w:t>
      </w:r>
    </w:p>
    <w:tbl>
      <w:tblPr>
        <w:tblW w:w="3676" w:type="dxa"/>
        <w:tblLayout w:type="fixed"/>
        <w:tblLook w:val="0400" w:firstRow="0" w:lastRow="0" w:firstColumn="0" w:lastColumn="0" w:noHBand="0" w:noVBand="1"/>
      </w:tblPr>
      <w:tblGrid>
        <w:gridCol w:w="2036"/>
        <w:gridCol w:w="789"/>
        <w:gridCol w:w="851"/>
      </w:tblGrid>
      <w:tr w:rsidR="007D7F1C" w:rsidRPr="007D7F1C" w14:paraId="2929266A" w14:textId="77777777" w:rsidTr="00955EFE">
        <w:trPr>
          <w:trHeight w:val="52"/>
        </w:trPr>
        <w:tc>
          <w:tcPr>
            <w:tcW w:w="2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D2DBB"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Total de empleados</w:t>
            </w:r>
          </w:p>
        </w:tc>
        <w:tc>
          <w:tcPr>
            <w:tcW w:w="16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02F0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218</w:t>
            </w:r>
          </w:p>
        </w:tc>
      </w:tr>
      <w:tr w:rsidR="007D7F1C" w:rsidRPr="007D7F1C" w14:paraId="53F7F279" w14:textId="77777777" w:rsidTr="00955EFE">
        <w:trPr>
          <w:trHeight w:val="52"/>
        </w:trPr>
        <w:tc>
          <w:tcPr>
            <w:tcW w:w="2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3888D"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7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A4D1C"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BCF461"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w:t>
            </w:r>
          </w:p>
        </w:tc>
      </w:tr>
      <w:tr w:rsidR="007D7F1C" w:rsidRPr="007D7F1C" w14:paraId="2663C78E" w14:textId="77777777" w:rsidTr="00955EFE">
        <w:trPr>
          <w:trHeight w:val="15"/>
        </w:trPr>
        <w:tc>
          <w:tcPr>
            <w:tcW w:w="2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DDF8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Mujeres</w:t>
            </w:r>
          </w:p>
        </w:tc>
        <w:tc>
          <w:tcPr>
            <w:tcW w:w="7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141FA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56</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0ED73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25.69</w:t>
            </w:r>
          </w:p>
        </w:tc>
      </w:tr>
      <w:tr w:rsidR="007D7F1C" w:rsidRPr="007D7F1C" w14:paraId="39293D9A" w14:textId="77777777" w:rsidTr="00955EFE">
        <w:trPr>
          <w:trHeight w:val="61"/>
        </w:trPr>
        <w:tc>
          <w:tcPr>
            <w:tcW w:w="2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EB533F"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Hombres</w:t>
            </w:r>
          </w:p>
        </w:tc>
        <w:tc>
          <w:tcPr>
            <w:tcW w:w="7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58EB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162</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12C3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74.31</w:t>
            </w:r>
          </w:p>
        </w:tc>
      </w:tr>
    </w:tbl>
    <w:p w14:paraId="7E2D02B3" w14:textId="77777777" w:rsidR="007D7F1C" w:rsidRPr="007D7F1C" w:rsidRDefault="007D7F1C" w:rsidP="007D7F1C">
      <w:pPr>
        <w:spacing w:line="240" w:lineRule="auto"/>
        <w:rPr>
          <w:rFonts w:ascii="Tahoma" w:eastAsia="Aptos" w:hAnsi="Tahoma" w:cs="Tahoma"/>
          <w:b/>
          <w:kern w:val="0"/>
          <w:lang w:val="es-ES" w:eastAsia="es-CO"/>
          <w14:ligatures w14:val="none"/>
        </w:rPr>
      </w:pPr>
    </w:p>
    <w:p w14:paraId="1FCD915A" w14:textId="77777777" w:rsidR="007D7F1C" w:rsidRPr="007D7F1C" w:rsidRDefault="007D7F1C" w:rsidP="007D7F1C">
      <w:pPr>
        <w:spacing w:line="240" w:lineRule="auto"/>
        <w:rPr>
          <w:rFonts w:ascii="Tahoma" w:eastAsia="Aptos" w:hAnsi="Tahoma" w:cs="Tahoma"/>
          <w:kern w:val="0"/>
          <w:sz w:val="32"/>
          <w:lang w:val="es-ES" w:eastAsia="es-CO"/>
          <w14:ligatures w14:val="none"/>
        </w:rPr>
      </w:pPr>
      <w:r w:rsidRPr="007D7F1C">
        <w:rPr>
          <w:rFonts w:ascii="Tahoma" w:eastAsia="Aptos" w:hAnsi="Tahoma" w:cs="Tahoma"/>
          <w:b/>
          <w:kern w:val="0"/>
          <w:sz w:val="32"/>
          <w:lang w:val="es-ES" w:eastAsia="es-CO"/>
          <w14:ligatures w14:val="none"/>
        </w:rPr>
        <w:t>Número de empleados por tipo de contrato</w:t>
      </w:r>
    </w:p>
    <w:tbl>
      <w:tblPr>
        <w:tblW w:w="8483" w:type="dxa"/>
        <w:tblLayout w:type="fixed"/>
        <w:tblLook w:val="0400" w:firstRow="0" w:lastRow="0" w:firstColumn="0" w:lastColumn="0" w:noHBand="0" w:noVBand="1"/>
      </w:tblPr>
      <w:tblGrid>
        <w:gridCol w:w="5944"/>
        <w:gridCol w:w="850"/>
        <w:gridCol w:w="851"/>
        <w:gridCol w:w="838"/>
      </w:tblGrid>
      <w:tr w:rsidR="007D7F1C" w:rsidRPr="007D7F1C" w14:paraId="4971687B"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4DFAFE"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A2BF2F"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2022</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8D50E7"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2023</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59E2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7911585F"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20B8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Total de empleados con contrato laboral a término indefinido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401F0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185</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F2BD6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186</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5940A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195</w:t>
            </w:r>
          </w:p>
        </w:tc>
      </w:tr>
      <w:tr w:rsidR="007D7F1C" w:rsidRPr="007D7F1C" w14:paraId="7DB7CDEB"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78265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Mujeres indefinido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33B1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43</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D806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43</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47E2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44</w:t>
            </w:r>
          </w:p>
        </w:tc>
      </w:tr>
      <w:tr w:rsidR="007D7F1C" w:rsidRPr="007D7F1C" w14:paraId="51DB413C"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639BF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Hombres indefinidos</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634CA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142</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FF75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143</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415EB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151</w:t>
            </w:r>
          </w:p>
        </w:tc>
      </w:tr>
      <w:tr w:rsidR="007D7F1C" w:rsidRPr="007D7F1C" w14:paraId="1D172DB8"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281D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Total de empleados con otro tipo de contratos (obra labor, aprendizaje, otros)</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1B4C2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19</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44449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21</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08FE7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30</w:t>
            </w:r>
          </w:p>
        </w:tc>
      </w:tr>
      <w:tr w:rsidR="007D7F1C" w:rsidRPr="007D7F1C" w14:paraId="19CFA3F1"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41A37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Mujeres con otro tipo de contratos</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7F75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48EE3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E8A35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12</w:t>
            </w:r>
          </w:p>
        </w:tc>
      </w:tr>
      <w:tr w:rsidR="007D7F1C" w:rsidRPr="007D7F1C" w14:paraId="3A00BDDD"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10BC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Hombres con otro tipo de contratos</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D7FB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DAB3E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12</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3485E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18</w:t>
            </w:r>
          </w:p>
        </w:tc>
      </w:tr>
      <w:tr w:rsidR="007D7F1C" w:rsidRPr="007D7F1C" w14:paraId="376E57DD"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098CF"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lastRenderedPageBreak/>
              <w:t>Total, de empleados con contrato laboral a término fijo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7308A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21</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1FC524"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24</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A9AB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23</w:t>
            </w:r>
          </w:p>
        </w:tc>
      </w:tr>
      <w:tr w:rsidR="007D7F1C" w:rsidRPr="007D7F1C" w14:paraId="49AA5888"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D9D0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Mujeres término fijo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D733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A4A9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BB75F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12</w:t>
            </w:r>
          </w:p>
        </w:tc>
      </w:tr>
      <w:tr w:rsidR="007D7F1C" w:rsidRPr="007D7F1C" w14:paraId="3E6F9A0E"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13294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Hombres término fijo</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37AC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16</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948E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DDC8D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w:t>
            </w:r>
          </w:p>
        </w:tc>
      </w:tr>
      <w:tr w:rsidR="007D7F1C" w:rsidRPr="007D7F1C" w14:paraId="31B26714" w14:textId="77777777" w:rsidTr="00955EFE">
        <w:tc>
          <w:tcPr>
            <w:tcW w:w="59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75E7C5"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Número de contratistas o personal temporal de la empresa</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4964D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10</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AEFBC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c>
          <w:tcPr>
            <w:tcW w:w="8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EC40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r>
    </w:tbl>
    <w:p w14:paraId="242948C1" w14:textId="77777777" w:rsidR="007D7F1C" w:rsidRPr="007D7F1C" w:rsidRDefault="007D7F1C" w:rsidP="007D7F1C">
      <w:pPr>
        <w:spacing w:line="240" w:lineRule="auto"/>
        <w:rPr>
          <w:rFonts w:ascii="Tahoma" w:eastAsia="Aptos" w:hAnsi="Tahoma" w:cs="Tahoma"/>
          <w:b/>
          <w:kern w:val="0"/>
          <w:lang w:val="es-ES" w:eastAsia="es-CO"/>
          <w14:ligatures w14:val="none"/>
        </w:rPr>
      </w:pPr>
    </w:p>
    <w:p w14:paraId="5ED8C976" w14:textId="77777777" w:rsidR="007D7F1C" w:rsidRPr="00CE1A69" w:rsidRDefault="007D7F1C" w:rsidP="007D7F1C">
      <w:pPr>
        <w:spacing w:line="240" w:lineRule="auto"/>
        <w:rPr>
          <w:rFonts w:ascii="Tahoma" w:eastAsia="Aptos" w:hAnsi="Tahoma" w:cs="Tahoma"/>
          <w:color w:val="0070C0"/>
          <w:kern w:val="0"/>
          <w:sz w:val="20"/>
          <w:szCs w:val="20"/>
          <w:lang w:val="es-ES" w:eastAsia="es-CO"/>
          <w14:ligatures w14:val="none"/>
        </w:rPr>
      </w:pPr>
      <w:r w:rsidRPr="00CE1A69">
        <w:rPr>
          <w:rFonts w:ascii="Tahoma" w:eastAsia="Aptos" w:hAnsi="Tahoma" w:cs="Tahoma"/>
          <w:b/>
          <w:color w:val="0070C0"/>
          <w:kern w:val="0"/>
          <w:sz w:val="20"/>
          <w:szCs w:val="20"/>
          <w:lang w:val="es-ES" w:eastAsia="es-CO"/>
          <w14:ligatures w14:val="none"/>
        </w:rPr>
        <w:t>GRI 2-7.a GRI 2-7. b; GRI 401-1</w:t>
      </w:r>
    </w:p>
    <w:p w14:paraId="3DB59A4B" w14:textId="77777777" w:rsidR="007D7F1C" w:rsidRPr="00CE1A69" w:rsidRDefault="007D7F1C" w:rsidP="007D7F1C">
      <w:pPr>
        <w:spacing w:line="240" w:lineRule="auto"/>
        <w:jc w:val="both"/>
        <w:rPr>
          <w:rFonts w:ascii="Tahoma" w:eastAsia="Aptos" w:hAnsi="Tahoma" w:cs="Tahoma"/>
          <w:color w:val="0070C0"/>
          <w:kern w:val="0"/>
          <w:lang w:val="es-ES" w:eastAsia="es-CO"/>
          <w14:ligatures w14:val="none"/>
        </w:rPr>
      </w:pPr>
      <w:r w:rsidRPr="007D7F1C">
        <w:rPr>
          <w:rFonts w:ascii="Tahoma" w:eastAsia="Aptos" w:hAnsi="Tahoma" w:cs="Tahoma"/>
          <w:kern w:val="0"/>
          <w:lang w:val="es-ES" w:eastAsia="es-CO"/>
          <w14:ligatures w14:val="none"/>
        </w:rPr>
        <w:t xml:space="preserve">Los trabajadores que no son empleados directos de TRANSELCA realizan principalmente labores de celaduría y servicios generales; su relación contractual está mediada por contratos con proveedores. </w:t>
      </w:r>
      <w:r w:rsidRPr="00CE1A69">
        <w:rPr>
          <w:rFonts w:ascii="Tahoma" w:eastAsia="Aptos" w:hAnsi="Tahoma" w:cs="Tahoma"/>
          <w:b/>
          <w:color w:val="0070C0"/>
          <w:kern w:val="0"/>
          <w:lang w:val="es-ES" w:eastAsia="es-CO"/>
          <w14:ligatures w14:val="none"/>
        </w:rPr>
        <w:t>GRI 2-8</w:t>
      </w:r>
    </w:p>
    <w:p w14:paraId="7AED14B2" w14:textId="77777777" w:rsidR="007D7F1C" w:rsidRPr="007D7F1C" w:rsidRDefault="007D7F1C" w:rsidP="007D7F1C">
      <w:pPr>
        <w:spacing w:line="240" w:lineRule="auto"/>
        <w:rPr>
          <w:rFonts w:ascii="Tahoma" w:eastAsia="Aptos" w:hAnsi="Tahoma" w:cs="Tahoma"/>
          <w:kern w:val="0"/>
          <w:sz w:val="32"/>
          <w:lang w:val="es-ES" w:eastAsia="es-CO"/>
          <w14:ligatures w14:val="none"/>
        </w:rPr>
      </w:pPr>
      <w:r w:rsidRPr="007D7F1C">
        <w:rPr>
          <w:rFonts w:ascii="Tahoma" w:eastAsia="Aptos" w:hAnsi="Tahoma" w:cs="Tahoma"/>
          <w:b/>
          <w:kern w:val="0"/>
          <w:sz w:val="32"/>
          <w:lang w:val="es-ES" w:eastAsia="es-CO"/>
          <w14:ligatures w14:val="none"/>
        </w:rPr>
        <w:t>Empleados por grupos etáreos</w:t>
      </w:r>
    </w:p>
    <w:tbl>
      <w:tblPr>
        <w:tblW w:w="6653" w:type="dxa"/>
        <w:tblLayout w:type="fixed"/>
        <w:tblLook w:val="0400" w:firstRow="0" w:lastRow="0" w:firstColumn="0" w:lastColumn="0" w:noHBand="0" w:noVBand="1"/>
      </w:tblPr>
      <w:tblGrid>
        <w:gridCol w:w="1833"/>
        <w:gridCol w:w="709"/>
        <w:gridCol w:w="850"/>
        <w:gridCol w:w="709"/>
        <w:gridCol w:w="904"/>
        <w:gridCol w:w="655"/>
        <w:gridCol w:w="993"/>
      </w:tblGrid>
      <w:tr w:rsidR="007D7F1C" w:rsidRPr="007D7F1C" w14:paraId="47EAC2F7" w14:textId="77777777" w:rsidTr="00955EFE">
        <w:trPr>
          <w:trHeight w:val="44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FEE9E"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155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B20A4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2022</w:t>
            </w:r>
          </w:p>
        </w:tc>
        <w:tc>
          <w:tcPr>
            <w:tcW w:w="161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41086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2023</w:t>
            </w:r>
          </w:p>
        </w:tc>
        <w:tc>
          <w:tcPr>
            <w:tcW w:w="164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EC439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56624260" w14:textId="77777777" w:rsidTr="00955EFE">
        <w:trPr>
          <w:trHeight w:val="44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464AE9"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4839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830F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C0F3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c>
          <w:tcPr>
            <w:tcW w:w="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0F5D8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c>
          <w:tcPr>
            <w:tcW w:w="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8413F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F5B6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w:t>
            </w:r>
          </w:p>
        </w:tc>
      </w:tr>
      <w:tr w:rsidR="007D7F1C" w:rsidRPr="007D7F1C" w14:paraId="2616A178" w14:textId="77777777" w:rsidTr="00955EFE">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9536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Menores de 30 años</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1CA9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18</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6709A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8,74</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EB42D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27</w:t>
            </w:r>
          </w:p>
        </w:tc>
        <w:tc>
          <w:tcPr>
            <w:tcW w:w="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6FD18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12,86</w:t>
            </w:r>
          </w:p>
        </w:tc>
        <w:tc>
          <w:tcPr>
            <w:tcW w:w="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4F97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32</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30C2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14,68</w:t>
            </w:r>
          </w:p>
        </w:tc>
      </w:tr>
      <w:tr w:rsidR="007D7F1C" w:rsidRPr="007D7F1C" w14:paraId="6496B5AD" w14:textId="77777777" w:rsidTr="00955EFE">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D35E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Entre 31 y 50</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90F4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103</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BA0A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50</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B0328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114</w:t>
            </w:r>
          </w:p>
        </w:tc>
        <w:tc>
          <w:tcPr>
            <w:tcW w:w="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EBCB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54,29</w:t>
            </w:r>
          </w:p>
        </w:tc>
        <w:tc>
          <w:tcPr>
            <w:tcW w:w="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EB366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117</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34A5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53,67</w:t>
            </w:r>
          </w:p>
        </w:tc>
      </w:tr>
      <w:tr w:rsidR="007D7F1C" w:rsidRPr="007D7F1C" w14:paraId="74D2C648" w14:textId="77777777" w:rsidTr="00955EFE">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4AD2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Mayores de 51</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37BF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85</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6D76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41,26</w:t>
            </w:r>
          </w:p>
        </w:t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2076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69</w:t>
            </w:r>
          </w:p>
        </w:tc>
        <w:tc>
          <w:tcPr>
            <w:tcW w:w="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8389E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32,86</w:t>
            </w:r>
          </w:p>
        </w:tc>
        <w:tc>
          <w:tcPr>
            <w:tcW w:w="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D803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69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D758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31,65</w:t>
            </w:r>
          </w:p>
        </w:tc>
      </w:tr>
    </w:tbl>
    <w:p w14:paraId="550DBD4E" w14:textId="77777777" w:rsidR="007D7F1C" w:rsidRPr="007D7F1C" w:rsidRDefault="007D7F1C" w:rsidP="007D7F1C">
      <w:pPr>
        <w:spacing w:line="240" w:lineRule="auto"/>
        <w:rPr>
          <w:rFonts w:ascii="Tahoma" w:eastAsia="Aptos" w:hAnsi="Tahoma" w:cs="Tahoma"/>
          <w:b/>
          <w:kern w:val="0"/>
          <w:lang w:val="es-ES" w:eastAsia="es-CO"/>
          <w14:ligatures w14:val="none"/>
        </w:rPr>
      </w:pPr>
    </w:p>
    <w:p w14:paraId="0B242AA3" w14:textId="77777777" w:rsidR="007D7F1C" w:rsidRPr="00CE1A69" w:rsidRDefault="007D7F1C" w:rsidP="007D7F1C">
      <w:pPr>
        <w:spacing w:line="240" w:lineRule="auto"/>
        <w:rPr>
          <w:rFonts w:ascii="Tahoma" w:eastAsia="Aptos" w:hAnsi="Tahoma" w:cs="Tahoma"/>
          <w:color w:val="0070C0"/>
          <w:kern w:val="0"/>
          <w:sz w:val="32"/>
          <w:lang w:val="es-ES" w:eastAsia="es-CO"/>
          <w14:ligatures w14:val="none"/>
        </w:rPr>
      </w:pPr>
      <w:r w:rsidRPr="00CE1A69">
        <w:rPr>
          <w:rFonts w:ascii="Tahoma" w:eastAsia="Aptos" w:hAnsi="Tahoma" w:cs="Tahoma"/>
          <w:b/>
          <w:color w:val="0070C0"/>
          <w:kern w:val="0"/>
          <w:sz w:val="32"/>
          <w:lang w:val="es-ES" w:eastAsia="es-CO"/>
          <w14:ligatures w14:val="none"/>
        </w:rPr>
        <w:t>GRI 2-7</w:t>
      </w:r>
    </w:p>
    <w:p w14:paraId="058465C4" w14:textId="77777777" w:rsidR="007D7F1C" w:rsidRDefault="007D7F1C" w:rsidP="007D7F1C">
      <w:pPr>
        <w:spacing w:line="240" w:lineRule="auto"/>
        <w:jc w:val="both"/>
        <w:rPr>
          <w:rFonts w:ascii="Tahoma" w:eastAsia="Aptos" w:hAnsi="Tahoma" w:cs="Tahoma"/>
          <w:b/>
          <w:color w:val="0070C0"/>
          <w:kern w:val="0"/>
          <w:lang w:val="es-ES" w:eastAsia="es-CO"/>
          <w14:ligatures w14:val="none"/>
        </w:rPr>
      </w:pPr>
      <w:r w:rsidRPr="007D7F1C">
        <w:rPr>
          <w:rFonts w:ascii="Tahoma" w:eastAsia="Aptos" w:hAnsi="Tahoma" w:cs="Tahoma"/>
          <w:kern w:val="0"/>
          <w:lang w:val="es-ES" w:eastAsia="es-CO"/>
          <w14:ligatures w14:val="none"/>
        </w:rPr>
        <w:t xml:space="preserve">Por tratarse de un negocio que demanda mano de obra calificada en oficios que tradicionalmente han ocupado los hombres, la planta de personal es mayoritariamente masculina. Sin embargo, se observa que en las edades entre los 20 y los 30 años se está cerrando esta brecha: </w:t>
      </w:r>
      <w:r w:rsidRPr="00CE1A69">
        <w:rPr>
          <w:rFonts w:ascii="Tahoma" w:eastAsia="Aptos" w:hAnsi="Tahoma" w:cs="Tahoma"/>
          <w:b/>
          <w:color w:val="0070C0"/>
          <w:kern w:val="0"/>
          <w:lang w:val="es-ES" w:eastAsia="es-CO"/>
          <w14:ligatures w14:val="none"/>
        </w:rPr>
        <w:t>GRI 2-7. d.</w:t>
      </w:r>
    </w:p>
    <w:p w14:paraId="79C287B4" w14:textId="77777777" w:rsidR="00CE1A69" w:rsidRDefault="00CE1A69" w:rsidP="007D7F1C">
      <w:pPr>
        <w:spacing w:line="240" w:lineRule="auto"/>
        <w:jc w:val="both"/>
        <w:rPr>
          <w:rFonts w:ascii="Tahoma" w:eastAsia="Aptos" w:hAnsi="Tahoma" w:cs="Tahoma"/>
          <w:b/>
          <w:color w:val="0070C0"/>
          <w:kern w:val="0"/>
          <w:lang w:val="es-ES" w:eastAsia="es-CO"/>
          <w14:ligatures w14:val="none"/>
        </w:rPr>
      </w:pPr>
    </w:p>
    <w:p w14:paraId="56CCBB23" w14:textId="77777777" w:rsidR="00CE1A69" w:rsidRPr="00CE1A69" w:rsidRDefault="00CE1A69" w:rsidP="007D7F1C">
      <w:pPr>
        <w:spacing w:line="240" w:lineRule="auto"/>
        <w:jc w:val="both"/>
        <w:rPr>
          <w:rFonts w:ascii="Tahoma" w:eastAsia="Aptos" w:hAnsi="Tahoma" w:cs="Tahoma"/>
          <w:color w:val="0070C0"/>
          <w:kern w:val="0"/>
          <w:lang w:val="es-ES" w:eastAsia="es-CO"/>
          <w14:ligatures w14:val="none"/>
        </w:rPr>
      </w:pPr>
    </w:p>
    <w:tbl>
      <w:tblPr>
        <w:tblW w:w="4526" w:type="dxa"/>
        <w:tblLayout w:type="fixed"/>
        <w:tblLook w:val="0400" w:firstRow="0" w:lastRow="0" w:firstColumn="0" w:lastColumn="0" w:noHBand="0" w:noVBand="1"/>
      </w:tblPr>
      <w:tblGrid>
        <w:gridCol w:w="1975"/>
        <w:gridCol w:w="1276"/>
        <w:gridCol w:w="1275"/>
      </w:tblGrid>
      <w:tr w:rsidR="007D7F1C" w:rsidRPr="007D7F1C" w14:paraId="3B809655" w14:textId="77777777" w:rsidTr="00955EFE">
        <w:trPr>
          <w:trHeight w:val="44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40CCA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lastRenderedPageBreak/>
              <w:t>2024</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8AC5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Mujeres</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9496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Hombres</w:t>
            </w:r>
          </w:p>
        </w:tc>
      </w:tr>
      <w:tr w:rsidR="007D7F1C" w:rsidRPr="007D7F1C" w14:paraId="30EF09B0" w14:textId="77777777" w:rsidTr="00955EFE">
        <w:trPr>
          <w:trHeight w:val="44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4060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Entre 20 y 30 años</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841D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14</w:t>
            </w:r>
          </w:p>
          <w:p w14:paraId="5F4396C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BFB74"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22</w:t>
            </w:r>
          </w:p>
          <w:p w14:paraId="63EA5C9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19</w:t>
            </w:r>
          </w:p>
        </w:tc>
      </w:tr>
    </w:tbl>
    <w:p w14:paraId="5D536FF0" w14:textId="77777777" w:rsidR="007D7F1C" w:rsidRPr="007D7F1C" w:rsidRDefault="007D7F1C" w:rsidP="007D7F1C">
      <w:pPr>
        <w:spacing w:line="240" w:lineRule="auto"/>
        <w:rPr>
          <w:rFonts w:ascii="Tahoma" w:eastAsia="Aptos" w:hAnsi="Tahoma" w:cs="Tahoma"/>
          <w:b/>
          <w:kern w:val="0"/>
          <w:lang w:val="es-ES" w:eastAsia="es-CO"/>
          <w14:ligatures w14:val="none"/>
        </w:rPr>
      </w:pPr>
    </w:p>
    <w:p w14:paraId="64FA439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La mayor disparidad se refleja en las edades entre los 31 y 40 años:</w:t>
      </w:r>
    </w:p>
    <w:p w14:paraId="6FFF1BC4" w14:textId="77777777" w:rsidR="007D7F1C" w:rsidRPr="007D7F1C" w:rsidRDefault="007D7F1C" w:rsidP="007D7F1C">
      <w:pPr>
        <w:spacing w:line="240" w:lineRule="auto"/>
        <w:rPr>
          <w:rFonts w:ascii="Tahoma" w:eastAsia="Aptos" w:hAnsi="Tahoma" w:cs="Tahoma"/>
          <w:kern w:val="0"/>
          <w:lang w:val="es-ES" w:eastAsia="es-CO"/>
          <w14:ligatures w14:val="none"/>
        </w:rPr>
      </w:pPr>
    </w:p>
    <w:tbl>
      <w:tblPr>
        <w:tblW w:w="4668" w:type="dxa"/>
        <w:tblLayout w:type="fixed"/>
        <w:tblLook w:val="0400" w:firstRow="0" w:lastRow="0" w:firstColumn="0" w:lastColumn="0" w:noHBand="0" w:noVBand="1"/>
      </w:tblPr>
      <w:tblGrid>
        <w:gridCol w:w="1975"/>
        <w:gridCol w:w="1276"/>
        <w:gridCol w:w="1417"/>
      </w:tblGrid>
      <w:tr w:rsidR="007D7F1C" w:rsidRPr="007D7F1C" w14:paraId="5F527B18" w14:textId="77777777" w:rsidTr="00955EFE">
        <w:trPr>
          <w:trHeight w:val="44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92557"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2024</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A4D1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Mujeres</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ECB7C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Hombres</w:t>
            </w:r>
          </w:p>
        </w:tc>
      </w:tr>
      <w:tr w:rsidR="007D7F1C" w:rsidRPr="007D7F1C" w14:paraId="18986823" w14:textId="77777777" w:rsidTr="00955EFE">
        <w:trPr>
          <w:trHeight w:val="440"/>
        </w:trPr>
        <w:tc>
          <w:tcPr>
            <w:tcW w:w="1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93DF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Entre de 31 y 40 años</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DAAB9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p w14:paraId="6DF63DC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12</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AD381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60</w:t>
            </w:r>
          </w:p>
          <w:p w14:paraId="024E803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54</w:t>
            </w:r>
          </w:p>
        </w:tc>
      </w:tr>
    </w:tbl>
    <w:p w14:paraId="29DFD11F" w14:textId="77777777" w:rsidR="007D7F1C" w:rsidRPr="007D7F1C" w:rsidRDefault="007D7F1C" w:rsidP="007D7F1C">
      <w:pPr>
        <w:spacing w:line="240" w:lineRule="auto"/>
        <w:rPr>
          <w:rFonts w:ascii="Tahoma" w:eastAsia="Aptos" w:hAnsi="Tahoma" w:cs="Tahoma"/>
          <w:kern w:val="0"/>
          <w:lang w:val="es-ES" w:eastAsia="es-CO"/>
          <w14:ligatures w14:val="none"/>
        </w:rPr>
      </w:pPr>
    </w:p>
    <w:p w14:paraId="0A666AE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Mapa y datos de empleados por género y región.</w:t>
      </w:r>
    </w:p>
    <w:p w14:paraId="161FF53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Atlántico: 176</w:t>
      </w:r>
    </w:p>
    <w:p w14:paraId="630E010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Bolívar: 14</w:t>
      </w:r>
    </w:p>
    <w:p w14:paraId="2B4AA4DE"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César: 13</w:t>
      </w:r>
    </w:p>
    <w:p w14:paraId="69A39005"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Córdoba: 2</w:t>
      </w:r>
    </w:p>
    <w:p w14:paraId="42D8F29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La Guajira: 4</w:t>
      </w:r>
    </w:p>
    <w:p w14:paraId="17DEB45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Magdalena: 9</w:t>
      </w:r>
    </w:p>
    <w:p w14:paraId="55B842C5" w14:textId="77777777" w:rsidR="007D7F1C" w:rsidRPr="007D7F1C" w:rsidRDefault="007D7F1C" w:rsidP="007D7F1C">
      <w:pPr>
        <w:spacing w:line="240" w:lineRule="auto"/>
        <w:rPr>
          <w:rFonts w:ascii="Tahoma" w:eastAsia="Aptos" w:hAnsi="Tahoma" w:cs="Tahoma"/>
          <w:kern w:val="0"/>
          <w:lang w:val="es-ES" w:eastAsia="es-CO"/>
          <w14:ligatures w14:val="none"/>
        </w:rPr>
      </w:pPr>
    </w:p>
    <w:p w14:paraId="18E65403"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En 2024 TRANSELCA realizó 40 nuevas contrataciones de empleados, lo cual representa un aumento de 81% con respecto al año anterior. GRI 401-1.a</w:t>
      </w:r>
    </w:p>
    <w:tbl>
      <w:tblPr>
        <w:tblW w:w="8921" w:type="dxa"/>
        <w:tblLayout w:type="fixed"/>
        <w:tblLook w:val="0400" w:firstRow="0" w:lastRow="0" w:firstColumn="0" w:lastColumn="0" w:noHBand="0" w:noVBand="1"/>
      </w:tblPr>
      <w:tblGrid>
        <w:gridCol w:w="5928"/>
        <w:gridCol w:w="1008"/>
        <w:gridCol w:w="992"/>
        <w:gridCol w:w="993"/>
      </w:tblGrid>
      <w:tr w:rsidR="007D7F1C" w:rsidRPr="007D7F1C" w14:paraId="64324918"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31C5C3"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CBF6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C7AC0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2023</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F920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57F752D9"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B182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empleados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4A625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AC6DA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22</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7F17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39</w:t>
            </w:r>
          </w:p>
        </w:tc>
      </w:tr>
      <w:tr w:rsidR="007D7F1C" w:rsidRPr="007D7F1C" w14:paraId="3D073D4D"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3228E5"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de vacantes llenadas con candidatos internos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7BFC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4B59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97579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r>
      <w:tr w:rsidR="007D7F1C" w:rsidRPr="007D7F1C" w14:paraId="7D1FF8FD"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794D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de vacantes ocupadas por candidatas internas: mujeres </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A56B6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5EE7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B015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r>
      <w:tr w:rsidR="007D7F1C" w:rsidRPr="007D7F1C" w14:paraId="79445D4F"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A0088E"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lastRenderedPageBreak/>
              <w:t>Porcentaje de vacantes ocupadas por candidatas internas: mujeres </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75192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3111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4498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r>
      <w:tr w:rsidR="007D7F1C" w:rsidRPr="007D7F1C" w14:paraId="5CFF7BB8"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C872D"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total de nuevas contrataciones de empleados durante el periodo objeto del informe (nuevas contrataciones / total de empleados)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A9D5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9,71%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3043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0,1%</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14DA1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0,18%</w:t>
            </w:r>
          </w:p>
        </w:tc>
      </w:tr>
      <w:tr w:rsidR="007D7F1C" w:rsidRPr="007D7F1C" w14:paraId="395DE162"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A3A1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mujeres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3E5B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6</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216BE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4B05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w:t>
            </w:r>
          </w:p>
        </w:tc>
      </w:tr>
      <w:tr w:rsidR="007D7F1C" w:rsidRPr="007D7F1C" w14:paraId="24490A25"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C360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de nuevas contrataciones de mujeres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1AB0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0,3%</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BB28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0,41%</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1D476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0,31%</w:t>
            </w:r>
          </w:p>
        </w:tc>
      </w:tr>
      <w:tr w:rsidR="007D7F1C" w:rsidRPr="007D7F1C" w14:paraId="78D2E5BC"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16EB1C"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El número total de nuevas contrataciones de hombres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6577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5E584"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2D3C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18</w:t>
            </w:r>
          </w:p>
        </w:tc>
      </w:tr>
      <w:tr w:rsidR="007D7F1C" w:rsidRPr="007D7F1C" w14:paraId="21DB8F4E"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C44DD7"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de nuevas contrataciones de hombres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EB0FB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0,7%</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7AF5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0,59%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9D47E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0,69%</w:t>
            </w:r>
          </w:p>
        </w:tc>
      </w:tr>
      <w:tr w:rsidR="007D7F1C" w:rsidRPr="007D7F1C" w14:paraId="4477298D"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1573E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empleados menores de 30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0B890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5C3C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3FC6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w:t>
            </w:r>
          </w:p>
        </w:tc>
      </w:tr>
      <w:tr w:rsidR="007D7F1C" w:rsidRPr="007D7F1C" w14:paraId="623BE0DA"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1E52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de nuevas contrataciones de empleados menores de 30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10EB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0,4%</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D6A0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0,41%</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869B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0,42%</w:t>
            </w:r>
          </w:p>
        </w:tc>
      </w:tr>
      <w:tr w:rsidR="007D7F1C" w:rsidRPr="007D7F1C" w14:paraId="5645642F"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DE98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empleados entre 30 y 50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4D42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2CD76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F88F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15</w:t>
            </w:r>
          </w:p>
        </w:tc>
      </w:tr>
      <w:tr w:rsidR="007D7F1C" w:rsidRPr="007D7F1C" w14:paraId="012B6E99"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148B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de nuevas contrataciones de empleados entre 30 y 50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EFBF6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0,5%</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E458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0,59%</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0E42F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0,58%</w:t>
            </w:r>
          </w:p>
        </w:tc>
      </w:tr>
      <w:tr w:rsidR="007D7F1C" w:rsidRPr="007D7F1C" w14:paraId="5B354A68"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EA2E5"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empleados mayores de 51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C17B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5A0EB"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9B130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r>
      <w:tr w:rsidR="007D7F1C" w:rsidRPr="007D7F1C" w14:paraId="715A3845"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45C5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de nuevas contrataciones de empleados mayores de 51 años</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071FF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12C1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4D8B4"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w:t>
            </w:r>
          </w:p>
        </w:tc>
      </w:tr>
      <w:tr w:rsidR="007D7F1C" w:rsidRPr="007D7F1C" w14:paraId="6507CA55" w14:textId="77777777" w:rsidTr="00955EFE">
        <w:tc>
          <w:tcPr>
            <w:tcW w:w="5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DB45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nuevas contrataciones de empleados de Colombia</w:t>
            </w:r>
          </w:p>
        </w:tc>
        <w:tc>
          <w:tcPr>
            <w:tcW w:w="1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BC2F9"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396B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22</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5A80B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26</w:t>
            </w:r>
          </w:p>
        </w:tc>
      </w:tr>
    </w:tbl>
    <w:p w14:paraId="76EA1C62" w14:textId="77777777" w:rsidR="007D7F1C" w:rsidRPr="00CE1A69" w:rsidRDefault="007D7F1C" w:rsidP="007D7F1C">
      <w:pPr>
        <w:spacing w:line="240" w:lineRule="auto"/>
        <w:rPr>
          <w:rFonts w:ascii="Tahoma" w:eastAsia="Aptos" w:hAnsi="Tahoma" w:cs="Tahoma"/>
          <w:color w:val="0070C0"/>
          <w:kern w:val="0"/>
          <w:lang w:val="es-ES" w:eastAsia="es-CO"/>
          <w14:ligatures w14:val="none"/>
        </w:rPr>
      </w:pPr>
      <w:r w:rsidRPr="00CE1A69">
        <w:rPr>
          <w:rFonts w:ascii="Tahoma" w:eastAsia="Aptos" w:hAnsi="Tahoma" w:cs="Tahoma"/>
          <w:b/>
          <w:color w:val="0070C0"/>
          <w:kern w:val="0"/>
          <w:lang w:val="es-ES" w:eastAsia="es-CO"/>
          <w14:ligatures w14:val="none"/>
        </w:rPr>
        <w:t>GRI 401-1.</w:t>
      </w:r>
      <w:sdt>
        <w:sdtPr>
          <w:rPr>
            <w:rFonts w:ascii="Tahoma" w:eastAsia="Aptos" w:hAnsi="Tahoma" w:cs="Tahoma"/>
            <w:color w:val="0070C0"/>
            <w:kern w:val="0"/>
            <w:lang w:val="es-ES" w:eastAsia="es-CO"/>
            <w14:ligatures w14:val="none"/>
          </w:rPr>
          <w:tag w:val="goog_rdk_0"/>
          <w:id w:val="2074238118"/>
        </w:sdtPr>
        <w:sdtEndPr/>
        <w:sdtContent/>
      </w:sdt>
      <w:r w:rsidRPr="00CE1A69">
        <w:rPr>
          <w:rFonts w:ascii="Tahoma" w:eastAsia="Aptos" w:hAnsi="Tahoma" w:cs="Tahoma"/>
          <w:b/>
          <w:color w:val="0070C0"/>
          <w:kern w:val="0"/>
          <w:lang w:val="es-ES" w:eastAsia="es-CO"/>
          <w14:ligatures w14:val="none"/>
        </w:rPr>
        <w:t>a</w:t>
      </w:r>
    </w:p>
    <w:p w14:paraId="0E4FD5F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Cifras de rotación de personal</w:t>
      </w:r>
    </w:p>
    <w:p w14:paraId="27D009AC"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Las políticas laborales de TRANSELCA buscan posicionar la compañía como un empleador atractivo y deseable. Los resultados reflejan las bajas tasas de rotación. </w:t>
      </w:r>
      <w:r w:rsidRPr="00CE1A69">
        <w:rPr>
          <w:rFonts w:ascii="Tahoma" w:eastAsia="Aptos" w:hAnsi="Tahoma" w:cs="Tahoma"/>
          <w:b/>
          <w:color w:val="0070C0"/>
          <w:kern w:val="0"/>
          <w:lang w:val="es-ES" w:eastAsia="es-CO"/>
          <w14:ligatures w14:val="none"/>
        </w:rPr>
        <w:t>GRI 2-7. e</w:t>
      </w:r>
    </w:p>
    <w:tbl>
      <w:tblPr>
        <w:tblW w:w="8484" w:type="dxa"/>
        <w:tblLayout w:type="fixed"/>
        <w:tblLook w:val="0400" w:firstRow="0" w:lastRow="0" w:firstColumn="0" w:lastColumn="0" w:noHBand="0" w:noVBand="1"/>
      </w:tblPr>
      <w:tblGrid>
        <w:gridCol w:w="5235"/>
        <w:gridCol w:w="1134"/>
        <w:gridCol w:w="1134"/>
        <w:gridCol w:w="981"/>
      </w:tblGrid>
      <w:tr w:rsidR="007D7F1C" w:rsidRPr="007D7F1C" w14:paraId="0497001E"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FD403"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lastRenderedPageBreak/>
              <w:t>Cifras de rotación empleados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570B3"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2022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01556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2023</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350F4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2024</w:t>
            </w:r>
          </w:p>
        </w:tc>
      </w:tr>
      <w:tr w:rsidR="007D7F1C" w:rsidRPr="007D7F1C" w14:paraId="173698AE"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C27BC"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Total, retiros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D30E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0A3DC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16</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0BAA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20</w:t>
            </w:r>
          </w:p>
        </w:tc>
      </w:tr>
      <w:tr w:rsidR="007D7F1C" w:rsidRPr="007D7F1C" w14:paraId="47315969"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8BFB3E"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retiros voluntarios (renuncias)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23D8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06E1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C4BB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w:t>
            </w:r>
          </w:p>
        </w:tc>
      </w:tr>
      <w:tr w:rsidR="007D7F1C" w:rsidRPr="007D7F1C" w14:paraId="606729FC"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3FF852"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retiros no voluntarios (despidos y terminación de contratos)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6403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79B94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C576B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w:t>
            </w:r>
          </w:p>
        </w:tc>
      </w:tr>
      <w:tr w:rsidR="007D7F1C" w:rsidRPr="007D7F1C" w14:paraId="3B997E5F"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27F89"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retiros naturales (jubilación, término definido, muerte)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A3A68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394BC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11</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C37E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r>
      <w:tr w:rsidR="007D7F1C" w:rsidRPr="007D7F1C" w14:paraId="52782D1B"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1DA1B"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Rotación por renuncia no voluntaria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68FE4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EE98D2"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0.06%</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9734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0.06%</w:t>
            </w:r>
          </w:p>
        </w:tc>
      </w:tr>
      <w:tr w:rsidR="007D7F1C" w:rsidRPr="007D7F1C" w14:paraId="0A6C1DAD"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67353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Rotación por renuncia voluntaria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1084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72CF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0.01%</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5AB5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0.04%</w:t>
            </w:r>
          </w:p>
        </w:tc>
      </w:tr>
      <w:tr w:rsidR="007D7F1C" w:rsidRPr="007D7F1C" w14:paraId="27EF44C8"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B383B"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Retiros mujeres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692D1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3965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DC1A7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w:t>
            </w:r>
          </w:p>
        </w:tc>
      </w:tr>
      <w:tr w:rsidR="007D7F1C" w:rsidRPr="007D7F1C" w14:paraId="44C769CF"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2E7D6E"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rotación mujeres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EB77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0.09%</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20DCD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0.08%</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42B8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0.13%</w:t>
            </w:r>
          </w:p>
        </w:tc>
      </w:tr>
      <w:tr w:rsidR="007D7F1C" w:rsidRPr="007D7F1C" w14:paraId="44E90612"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2FCC5"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Retiros hombres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7F1D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9</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5FB5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14</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A7BC2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13</w:t>
            </w:r>
          </w:p>
        </w:tc>
      </w:tr>
      <w:tr w:rsidR="007D7F1C" w:rsidRPr="007D7F1C" w14:paraId="5612C371"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AB057"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Tasa rotación hombres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BBE3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E12A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0.08%</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FAC5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0.08%</w:t>
            </w:r>
          </w:p>
        </w:tc>
      </w:tr>
    </w:tbl>
    <w:p w14:paraId="28E0B75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GRI 401-1.b</w:t>
      </w:r>
    </w:p>
    <w:p w14:paraId="4FE67705" w14:textId="77777777" w:rsidR="007D7F1C" w:rsidRPr="007D7F1C" w:rsidRDefault="007D7F1C" w:rsidP="007D7F1C">
      <w:pPr>
        <w:spacing w:line="240" w:lineRule="auto"/>
        <w:rPr>
          <w:rFonts w:ascii="Tahoma" w:eastAsia="Aptos" w:hAnsi="Tahoma" w:cs="Tahoma"/>
          <w:kern w:val="0"/>
          <w:lang w:val="es-ES" w:eastAsia="es-CO"/>
          <w14:ligatures w14:val="none"/>
        </w:rPr>
      </w:pPr>
    </w:p>
    <w:tbl>
      <w:tblPr>
        <w:tblW w:w="8212" w:type="dxa"/>
        <w:tblLayout w:type="fixed"/>
        <w:tblLook w:val="0400" w:firstRow="0" w:lastRow="0" w:firstColumn="0" w:lastColumn="0" w:noHBand="0" w:noVBand="1"/>
      </w:tblPr>
      <w:tblGrid>
        <w:gridCol w:w="4952"/>
        <w:gridCol w:w="992"/>
        <w:gridCol w:w="1134"/>
        <w:gridCol w:w="1134"/>
      </w:tblGrid>
      <w:tr w:rsidR="007D7F1C" w:rsidRPr="007D7F1C" w14:paraId="697ED5DB"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70E2A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Mujeres en cargos gerenciales: nivel 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48A85"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2E655"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BB38CD"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1940479D"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DF140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de mujeres en cargos directivos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0A98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44C7C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21E4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w:t>
            </w:r>
          </w:p>
        </w:tc>
      </w:tr>
      <w:tr w:rsidR="007D7F1C" w:rsidRPr="007D7F1C" w14:paraId="1BD96AFA"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7FFE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Porcentaje de mujeres en cargos directivos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0ADF7"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16.7%</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E91E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33.33%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12FF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28.57%</w:t>
            </w:r>
          </w:p>
        </w:tc>
      </w:tr>
    </w:tbl>
    <w:p w14:paraId="7EE9A94C" w14:textId="77777777" w:rsidR="007D7F1C" w:rsidRPr="007D7F1C" w:rsidRDefault="007D7F1C" w:rsidP="007D7F1C">
      <w:pPr>
        <w:spacing w:line="240" w:lineRule="auto"/>
        <w:rPr>
          <w:rFonts w:ascii="Tahoma" w:eastAsia="Aptos" w:hAnsi="Tahoma" w:cs="Tahoma"/>
          <w:kern w:val="0"/>
          <w:lang w:val="es-ES" w:eastAsia="es-CO"/>
          <w14:ligatures w14:val="none"/>
        </w:rPr>
      </w:pPr>
    </w:p>
    <w:p w14:paraId="6510B674" w14:textId="77777777" w:rsidR="007D7F1C" w:rsidRPr="007D7F1C" w:rsidRDefault="007D7F1C" w:rsidP="007D7F1C">
      <w:pPr>
        <w:spacing w:line="240" w:lineRule="auto"/>
        <w:rPr>
          <w:rFonts w:ascii="Tahoma" w:eastAsia="Aptos" w:hAnsi="Tahoma" w:cs="Tahoma"/>
          <w:kern w:val="0"/>
          <w:lang w:val="es-ES" w:eastAsia="es-CO"/>
          <w14:ligatures w14:val="none"/>
        </w:rPr>
      </w:pPr>
    </w:p>
    <w:tbl>
      <w:tblPr>
        <w:tblW w:w="8212" w:type="dxa"/>
        <w:tblLayout w:type="fixed"/>
        <w:tblLook w:val="0400" w:firstRow="0" w:lastRow="0" w:firstColumn="0" w:lastColumn="0" w:noHBand="0" w:noVBand="1"/>
      </w:tblPr>
      <w:tblGrid>
        <w:gridCol w:w="4952"/>
        <w:gridCol w:w="992"/>
        <w:gridCol w:w="1134"/>
        <w:gridCol w:w="1134"/>
      </w:tblGrid>
      <w:tr w:rsidR="007D7F1C" w:rsidRPr="007D7F1C" w14:paraId="44E3755C"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464EB"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Mujeres en cargos directivos nivel 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1070F9" w14:textId="77777777" w:rsidR="007D7F1C" w:rsidRPr="007D7F1C" w:rsidRDefault="007D7F1C" w:rsidP="007D7F1C">
            <w:pPr>
              <w:spacing w:line="240" w:lineRule="auto"/>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AE5FD" w14:textId="77777777" w:rsidR="007D7F1C" w:rsidRPr="007D7F1C" w:rsidRDefault="007D7F1C" w:rsidP="007D7F1C">
            <w:pPr>
              <w:spacing w:line="240" w:lineRule="auto"/>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E5D32F" w14:textId="77777777" w:rsidR="007D7F1C" w:rsidRPr="007D7F1C" w:rsidRDefault="007D7F1C" w:rsidP="007D7F1C">
            <w:pPr>
              <w:spacing w:line="240" w:lineRule="auto"/>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2193A9CD"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1A289B"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de mujeres en cargos directivos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4A88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17A2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8774A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w:t>
            </w:r>
          </w:p>
        </w:tc>
      </w:tr>
      <w:tr w:rsidR="007D7F1C" w:rsidRPr="007D7F1C" w14:paraId="51DB5337"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E5E39C"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lastRenderedPageBreak/>
              <w:t>Porcentaje de mujeres en cargos directivos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59A2BF"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55.6%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579B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55.56%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DC2746"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50%</w:t>
            </w:r>
          </w:p>
        </w:tc>
      </w:tr>
    </w:tbl>
    <w:p w14:paraId="661433F4" w14:textId="77777777" w:rsidR="007D7F1C" w:rsidRPr="007D7F1C" w:rsidRDefault="007D7F1C" w:rsidP="007D7F1C">
      <w:pPr>
        <w:spacing w:line="240" w:lineRule="auto"/>
        <w:rPr>
          <w:rFonts w:ascii="Tahoma" w:eastAsia="Aptos" w:hAnsi="Tahoma" w:cs="Tahoma"/>
          <w:kern w:val="0"/>
          <w:lang w:val="es-ES" w:eastAsia="es-CO"/>
          <w14:ligatures w14:val="none"/>
        </w:rPr>
      </w:pPr>
    </w:p>
    <w:p w14:paraId="301A02B7" w14:textId="77777777" w:rsidR="007D7F1C" w:rsidRPr="007D7F1C" w:rsidRDefault="007D7F1C" w:rsidP="007D7F1C">
      <w:pPr>
        <w:spacing w:line="240" w:lineRule="auto"/>
        <w:rPr>
          <w:rFonts w:ascii="Tahoma" w:eastAsia="Aptos" w:hAnsi="Tahoma" w:cs="Tahoma"/>
          <w:kern w:val="0"/>
          <w:lang w:val="es-ES" w:eastAsia="es-CO"/>
          <w14:ligatures w14:val="none"/>
        </w:rPr>
      </w:pPr>
    </w:p>
    <w:tbl>
      <w:tblPr>
        <w:tblW w:w="8212" w:type="dxa"/>
        <w:tblLayout w:type="fixed"/>
        <w:tblLook w:val="0400" w:firstRow="0" w:lastRow="0" w:firstColumn="0" w:lastColumn="0" w:noHBand="0" w:noVBand="1"/>
      </w:tblPr>
      <w:tblGrid>
        <w:gridCol w:w="4952"/>
        <w:gridCol w:w="992"/>
        <w:gridCol w:w="1134"/>
        <w:gridCol w:w="1134"/>
      </w:tblGrid>
      <w:tr w:rsidR="007D7F1C" w:rsidRPr="007D7F1C" w14:paraId="49775E3F"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6EF9C"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Total, de mujeres en niveles 1 y 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3184C"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819B7"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0F4FDB"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08B8BBA0"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6780FD"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empleados en niveles 1 y 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CC252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B233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41BB3C"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17</w:t>
            </w:r>
          </w:p>
        </w:tc>
      </w:tr>
      <w:tr w:rsidR="007D7F1C" w:rsidRPr="007D7F1C" w14:paraId="755D22A8"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29FE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Número total de mujeres en niveles 1 y 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BD0BE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7F66FA"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E6388"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w:t>
            </w:r>
          </w:p>
        </w:tc>
      </w:tr>
      <w:tr w:rsidR="007D7F1C" w:rsidRPr="007D7F1C" w14:paraId="484560CA"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078776"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Porcentaje de mujeres en niveles 1 y 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E47A1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37.5%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C44A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46.66%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52B061"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41.18%</w:t>
            </w:r>
          </w:p>
        </w:tc>
      </w:tr>
      <w:tr w:rsidR="007D7F1C" w:rsidRPr="007D7F1C" w14:paraId="7B414244" w14:textId="77777777" w:rsidTr="00955EFE">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9F0046"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DA3D91"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8D019"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422A1" w14:textId="77777777" w:rsidR="007D7F1C" w:rsidRPr="007D7F1C" w:rsidRDefault="007D7F1C" w:rsidP="007D7F1C">
            <w:pPr>
              <w:spacing w:line="240" w:lineRule="auto"/>
              <w:rPr>
                <w:rFonts w:ascii="Tahoma" w:eastAsia="Aptos" w:hAnsi="Tahoma" w:cs="Tahoma"/>
                <w:kern w:val="0"/>
                <w:lang w:val="es-ES" w:eastAsia="es-CO"/>
                <w14:ligatures w14:val="none"/>
              </w:rPr>
            </w:pPr>
          </w:p>
        </w:tc>
      </w:tr>
    </w:tbl>
    <w:p w14:paraId="11982B5C" w14:textId="77777777" w:rsidR="007D7F1C" w:rsidRPr="007D7F1C" w:rsidRDefault="007D7F1C" w:rsidP="007D7F1C">
      <w:pPr>
        <w:spacing w:line="240" w:lineRule="auto"/>
        <w:rPr>
          <w:rFonts w:ascii="Tahoma" w:eastAsia="Aptos" w:hAnsi="Tahoma" w:cs="Tahoma"/>
          <w:kern w:val="0"/>
          <w:lang w:val="es-ES" w:eastAsia="es-CO"/>
          <w14:ligatures w14:val="none"/>
        </w:rPr>
      </w:pPr>
    </w:p>
    <w:p w14:paraId="15C41741"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Desde el 2021 y hasta el  2024 el número de mujeres en cargos relacionados con áreas de ciencia, tecnología, ingeniería, finanzas, contabilidad y matemáticas (STEM) aumentó de </w:t>
      </w:r>
      <w:r w:rsidRPr="007D7F1C">
        <w:rPr>
          <w:rFonts w:ascii="Tahoma" w:eastAsia="Aptos" w:hAnsi="Tahoma" w:cs="Tahoma"/>
          <w:b/>
          <w:kern w:val="0"/>
          <w:lang w:val="es-ES" w:eastAsia="es-CO"/>
          <w14:ligatures w14:val="none"/>
        </w:rPr>
        <w:t>11 a 21</w:t>
      </w:r>
      <w:r w:rsidRPr="007D7F1C">
        <w:rPr>
          <w:rFonts w:ascii="Tahoma" w:eastAsia="Aptos" w:hAnsi="Tahoma" w:cs="Tahoma"/>
          <w:kern w:val="0"/>
          <w:lang w:val="es-ES" w:eastAsia="es-CO"/>
          <w14:ligatures w14:val="none"/>
        </w:rPr>
        <w:t xml:space="preserve">. </w:t>
      </w:r>
      <w:r w:rsidRPr="00CE1A69">
        <w:rPr>
          <w:rFonts w:ascii="Tahoma" w:eastAsia="Aptos" w:hAnsi="Tahoma" w:cs="Tahoma"/>
          <w:b/>
          <w:bCs/>
          <w:color w:val="0070C0"/>
          <w:kern w:val="0"/>
          <w:lang w:val="es-ES" w:eastAsia="es-CO"/>
          <w14:ligatures w14:val="none"/>
        </w:rPr>
        <w:t>GRI 2-7</w:t>
      </w:r>
    </w:p>
    <w:p w14:paraId="1EBCE03F"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Las cifras de personal se gestionan a través del T</w:t>
      </w:r>
      <w:r w:rsidRPr="007D7F1C">
        <w:rPr>
          <w:rFonts w:ascii="Tahoma" w:eastAsia="Aptos" w:hAnsi="Tahoma" w:cs="Tahoma"/>
          <w:b/>
          <w:kern w:val="0"/>
          <w:lang w:val="es-ES" w:eastAsia="es-CO"/>
          <w14:ligatures w14:val="none"/>
        </w:rPr>
        <w:t>ablero de Indicadores Demográficos</w:t>
      </w:r>
      <w:r w:rsidRPr="007D7F1C">
        <w:rPr>
          <w:rFonts w:ascii="Tahoma" w:eastAsia="Aptos" w:hAnsi="Tahoma" w:cs="Tahoma"/>
          <w:kern w:val="0"/>
          <w:lang w:val="es-ES" w:eastAsia="es-CO"/>
          <w14:ligatures w14:val="none"/>
        </w:rPr>
        <w:t xml:space="preserve">. Esta herramienta permite integrar la información cuantitativa de todo el personal de planta y contratistas, especificando el área, el índice de rotación, los ingresos y retiros, el índice de ingresos, el personal con discapacidad y el personal jubilable, entre otros. </w:t>
      </w:r>
      <w:r w:rsidRPr="00CE1A69">
        <w:rPr>
          <w:rFonts w:ascii="Tahoma" w:eastAsia="Aptos" w:hAnsi="Tahoma" w:cs="Tahoma"/>
          <w:b/>
          <w:color w:val="0070C0"/>
          <w:kern w:val="0"/>
          <w:lang w:val="es-ES" w:eastAsia="es-CO"/>
          <w14:ligatures w14:val="none"/>
        </w:rPr>
        <w:t>GRI 2-7.c y GRI 2-8. b. </w:t>
      </w:r>
    </w:p>
    <w:p w14:paraId="4EF39D3D"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La información cualitativa relativa a la planta de personal se gestiona a través de la plataforma </w:t>
      </w:r>
      <w:r w:rsidRPr="007D7F1C">
        <w:rPr>
          <w:rFonts w:ascii="Tahoma" w:eastAsia="Aptos" w:hAnsi="Tahoma" w:cs="Tahoma"/>
          <w:b/>
          <w:kern w:val="0"/>
          <w:lang w:val="es-ES" w:eastAsia="es-CO"/>
          <w14:ligatures w14:val="none"/>
        </w:rPr>
        <w:t>Íntegro</w:t>
      </w:r>
      <w:r w:rsidRPr="007D7F1C">
        <w:rPr>
          <w:rFonts w:ascii="Tahoma" w:eastAsia="Aptos" w:hAnsi="Tahoma" w:cs="Tahoma"/>
          <w:kern w:val="0"/>
          <w:lang w:val="es-ES" w:eastAsia="es-CO"/>
          <w14:ligatures w14:val="none"/>
        </w:rPr>
        <w:t>, la cual realiza seguimiento a los objetivos de desempeño anuales que los son planteados por cada uno de los colaboradores con el apoyo de sus jefes de área.</w:t>
      </w:r>
    </w:p>
    <w:p w14:paraId="72E40A85" w14:textId="77777777" w:rsidR="007D7F1C" w:rsidRPr="00CE1A69" w:rsidRDefault="007D7F1C" w:rsidP="007D7F1C">
      <w:pPr>
        <w:spacing w:line="240" w:lineRule="auto"/>
        <w:jc w:val="both"/>
        <w:rPr>
          <w:rFonts w:ascii="Tahoma" w:eastAsia="Aptos" w:hAnsi="Tahoma" w:cs="Tahoma"/>
          <w:color w:val="0070C0"/>
          <w:kern w:val="0"/>
          <w:lang w:val="es-ES" w:eastAsia="es-CO"/>
          <w14:ligatures w14:val="none"/>
        </w:rPr>
      </w:pPr>
      <w:r w:rsidRPr="007D7F1C">
        <w:rPr>
          <w:rFonts w:ascii="Tahoma" w:eastAsia="Aptos" w:hAnsi="Tahoma" w:cs="Tahoma"/>
          <w:kern w:val="0"/>
          <w:lang w:val="es-ES" w:eastAsia="es-CO"/>
          <w14:ligatures w14:val="none"/>
        </w:rPr>
        <w:t xml:space="preserve">La rotación de personal en TRANSELCA no presenta movimientos significativos, lo que refleja el buen clima laboral de la compañía que, según el estudio anual, en el 2024 se mantuvo en 85 puntos de favorabilidad. </w:t>
      </w:r>
      <w:r w:rsidRPr="00CE1A69">
        <w:rPr>
          <w:rFonts w:ascii="Tahoma" w:eastAsia="Aptos" w:hAnsi="Tahoma" w:cs="Tahoma"/>
          <w:b/>
          <w:color w:val="0070C0"/>
          <w:kern w:val="0"/>
          <w:lang w:val="es-ES" w:eastAsia="es-CO"/>
          <w14:ligatures w14:val="none"/>
        </w:rPr>
        <w:t>GRI 2-7. e. </w:t>
      </w:r>
    </w:p>
    <w:p w14:paraId="31747698"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Este estudio anual de clima organizacional se realiza en una plataforma virtual a la cual tienen acceso los trabajadores de todos los niveles de la compañía y mide la efectividad del empleado a través de 2 grandes dimensiones: </w:t>
      </w:r>
    </w:p>
    <w:p w14:paraId="5BF67CCF" w14:textId="77777777" w:rsidR="007D7F1C" w:rsidRPr="007D7F1C" w:rsidRDefault="007D7F1C" w:rsidP="00164509">
      <w:pPr>
        <w:numPr>
          <w:ilvl w:val="0"/>
          <w:numId w:val="128"/>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Compromiso </w:t>
      </w:r>
    </w:p>
    <w:p w14:paraId="1A1EF801" w14:textId="77777777" w:rsidR="007D7F1C" w:rsidRPr="007D7F1C" w:rsidRDefault="007D7F1C" w:rsidP="00164509">
      <w:pPr>
        <w:numPr>
          <w:ilvl w:val="0"/>
          <w:numId w:val="128"/>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Soporte para el éxito </w:t>
      </w:r>
    </w:p>
    <w:p w14:paraId="311CF9EF"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A su vez, estas dimensiones se dividen en 19 factores que se analizan a través de 79 preguntas cerradas y 1 abierta, las cuales evalúan los siguientes índices:</w:t>
      </w:r>
    </w:p>
    <w:p w14:paraId="3FAD08CF" w14:textId="77777777" w:rsidR="007D7F1C" w:rsidRPr="007D7F1C" w:rsidRDefault="007D7F1C" w:rsidP="00164509">
      <w:pPr>
        <w:numPr>
          <w:ilvl w:val="0"/>
          <w:numId w:val="129"/>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Liderazgo </w:t>
      </w:r>
    </w:p>
    <w:p w14:paraId="6C37D5DF" w14:textId="77777777" w:rsidR="007D7F1C" w:rsidRPr="007D7F1C" w:rsidRDefault="007D7F1C" w:rsidP="00164509">
      <w:pPr>
        <w:numPr>
          <w:ilvl w:val="0"/>
          <w:numId w:val="129"/>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lastRenderedPageBreak/>
        <w:t>Capacidades Organizacionales</w:t>
      </w:r>
    </w:p>
    <w:p w14:paraId="3514C2B3" w14:textId="77777777" w:rsidR="007D7F1C" w:rsidRPr="007D7F1C" w:rsidRDefault="007D7F1C" w:rsidP="00164509">
      <w:pPr>
        <w:numPr>
          <w:ilvl w:val="0"/>
          <w:numId w:val="129"/>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Cultura</w:t>
      </w:r>
    </w:p>
    <w:p w14:paraId="787E1C13" w14:textId="77777777" w:rsidR="007D7F1C" w:rsidRPr="007D7F1C" w:rsidRDefault="007D7F1C" w:rsidP="00164509">
      <w:pPr>
        <w:numPr>
          <w:ilvl w:val="0"/>
          <w:numId w:val="129"/>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Equipo </w:t>
      </w:r>
    </w:p>
    <w:p w14:paraId="1907F6F2" w14:textId="77777777" w:rsidR="007D7F1C" w:rsidRPr="007D7F1C" w:rsidRDefault="007D7F1C" w:rsidP="00164509">
      <w:pPr>
        <w:numPr>
          <w:ilvl w:val="0"/>
          <w:numId w:val="129"/>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Innovación</w:t>
      </w:r>
    </w:p>
    <w:p w14:paraId="619966EC"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Los resultados generales del estudio en 2024 permitieron identificar oportunidades de mejora relacionados con la compensación.</w:t>
      </w:r>
    </w:p>
    <w:p w14:paraId="550E50BD"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Libertad de asociación</w:t>
      </w:r>
    </w:p>
    <w:tbl>
      <w:tblPr>
        <w:tblW w:w="8484" w:type="dxa"/>
        <w:tblLayout w:type="fixed"/>
        <w:tblLook w:val="0400" w:firstRow="0" w:lastRow="0" w:firstColumn="0" w:lastColumn="0" w:noHBand="0" w:noVBand="1"/>
      </w:tblPr>
      <w:tblGrid>
        <w:gridCol w:w="5235"/>
        <w:gridCol w:w="992"/>
        <w:gridCol w:w="1134"/>
        <w:gridCol w:w="1123"/>
      </w:tblGrid>
      <w:tr w:rsidR="007D7F1C" w:rsidRPr="007D7F1C" w14:paraId="57194327"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C36CF" w14:textId="77777777" w:rsidR="007D7F1C" w:rsidRPr="007D7F1C" w:rsidRDefault="007D7F1C" w:rsidP="007D7F1C">
            <w:pPr>
              <w:spacing w:line="240" w:lineRule="auto"/>
              <w:rPr>
                <w:rFonts w:ascii="Tahoma" w:eastAsia="Aptos" w:hAnsi="Tahoma" w:cs="Tahoma"/>
                <w:kern w:val="0"/>
                <w:lang w:val="es-ES" w:eastAsia="es-CO"/>
                <w14:ligatures w14:val="none"/>
              </w:rPr>
            </w:pP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F5601"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31DAF"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2023</w:t>
            </w:r>
          </w:p>
        </w:tc>
        <w:tc>
          <w:tcPr>
            <w:tcW w:w="1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769AB0" w14:textId="77777777" w:rsidR="007D7F1C" w:rsidRPr="007D7F1C" w:rsidRDefault="007D7F1C" w:rsidP="007D7F1C">
            <w:pPr>
              <w:spacing w:line="240" w:lineRule="auto"/>
              <w:jc w:val="center"/>
              <w:rPr>
                <w:rFonts w:ascii="Tahoma" w:eastAsia="Aptos" w:hAnsi="Tahoma" w:cs="Tahoma"/>
                <w:b/>
                <w:kern w:val="0"/>
                <w:lang w:val="es-ES" w:eastAsia="es-CO"/>
                <w14:ligatures w14:val="none"/>
              </w:rPr>
            </w:pPr>
            <w:r w:rsidRPr="007D7F1C">
              <w:rPr>
                <w:rFonts w:ascii="Tahoma" w:eastAsia="Aptos" w:hAnsi="Tahoma" w:cs="Tahoma"/>
                <w:b/>
                <w:kern w:val="0"/>
                <w:lang w:val="es-ES" w:eastAsia="es-CO"/>
                <w14:ligatures w14:val="none"/>
              </w:rPr>
              <w:t>2024</w:t>
            </w:r>
          </w:p>
        </w:tc>
      </w:tr>
      <w:tr w:rsidR="007D7F1C" w:rsidRPr="007D7F1C" w14:paraId="0754026B"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21AB0" w14:textId="77777777" w:rsidR="007D7F1C" w:rsidRPr="00466666" w:rsidRDefault="007D7F1C" w:rsidP="007D7F1C">
            <w:pPr>
              <w:spacing w:line="240" w:lineRule="auto"/>
              <w:rPr>
                <w:rFonts w:ascii="Tahoma" w:eastAsia="Aptos" w:hAnsi="Tahoma" w:cs="Tahoma"/>
                <w:kern w:val="0"/>
                <w:lang w:val="pt-BR" w:eastAsia="es-CO"/>
                <w14:ligatures w14:val="none"/>
              </w:rPr>
            </w:pPr>
            <w:r w:rsidRPr="00466666">
              <w:rPr>
                <w:rFonts w:ascii="Tahoma" w:eastAsia="Aptos" w:hAnsi="Tahoma" w:cs="Tahoma"/>
                <w:kern w:val="0"/>
                <w:lang w:val="pt-BR" w:eastAsia="es-CO"/>
                <w14:ligatures w14:val="none"/>
              </w:rPr>
              <w:t>Número de colaboradores representados por sindicatos o pactos colectivos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36C4E1"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83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2BB7A5"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77</w:t>
            </w:r>
          </w:p>
        </w:tc>
        <w:tc>
          <w:tcPr>
            <w:tcW w:w="1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30E87D"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73</w:t>
            </w:r>
          </w:p>
        </w:tc>
      </w:tr>
      <w:tr w:rsidR="007D7F1C" w:rsidRPr="007D7F1C" w14:paraId="2AC02217" w14:textId="77777777" w:rsidTr="00955EFE">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D71DA"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Porcentaje de colaboradores representados por sindicatos o pactos colectivos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58DC3"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41%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C5C50"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36.67%</w:t>
            </w:r>
          </w:p>
        </w:tc>
        <w:tc>
          <w:tcPr>
            <w:tcW w:w="1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E473E" w14:textId="77777777" w:rsidR="007D7F1C" w:rsidRPr="007D7F1C" w:rsidRDefault="007D7F1C" w:rsidP="007D7F1C">
            <w:pPr>
              <w:spacing w:line="240" w:lineRule="auto"/>
              <w:jc w:val="center"/>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33.49%</w:t>
            </w:r>
          </w:p>
        </w:tc>
      </w:tr>
    </w:tbl>
    <w:p w14:paraId="27E89CE8"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GRI 2-30.a.; GRI 407-1</w:t>
      </w:r>
    </w:p>
    <w:p w14:paraId="21D82DE0" w14:textId="77777777" w:rsidR="007D7F1C" w:rsidRPr="007D7F1C" w:rsidRDefault="00C11E42" w:rsidP="007D7F1C">
      <w:pPr>
        <w:spacing w:line="240" w:lineRule="auto"/>
        <w:rPr>
          <w:rFonts w:ascii="Tahoma" w:eastAsia="Aptos" w:hAnsi="Tahoma" w:cs="Tahoma"/>
          <w:kern w:val="0"/>
          <w:lang w:val="es-ES" w:eastAsia="es-CO"/>
          <w14:ligatures w14:val="none"/>
        </w:rPr>
      </w:pPr>
      <w:sdt>
        <w:sdtPr>
          <w:rPr>
            <w:rFonts w:ascii="Tahoma" w:eastAsia="Aptos" w:hAnsi="Tahoma" w:cs="Tahoma"/>
            <w:kern w:val="0"/>
            <w:lang w:val="es-ES" w:eastAsia="es-CO"/>
            <w14:ligatures w14:val="none"/>
          </w:rPr>
          <w:tag w:val="goog_rdk_1"/>
          <w:id w:val="78803674"/>
        </w:sdtPr>
        <w:sdtEndPr/>
        <w:sdtContent/>
      </w:sdt>
      <w:r w:rsidR="007D7F1C" w:rsidRPr="007D7F1C">
        <w:rPr>
          <w:rFonts w:ascii="Tahoma" w:eastAsia="Aptos" w:hAnsi="Tahoma" w:cs="Tahoma"/>
          <w:kern w:val="0"/>
          <w:lang w:val="es-ES" w:eastAsia="es-CO"/>
          <w14:ligatures w14:val="none"/>
        </w:rPr>
        <w:t>El 50% es beneficiario por extensión de la convención colectiva. </w:t>
      </w:r>
    </w:p>
    <w:p w14:paraId="7D64A9B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El 16,51% tiene salario integral y no se beneficia de la convención colectiva. </w:t>
      </w:r>
    </w:p>
    <w:p w14:paraId="19CEB170"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El 69,72% está en el área operativa. </w:t>
      </w:r>
    </w:p>
    <w:p w14:paraId="2979C9C4" w14:textId="77777777" w:rsidR="007D7F1C" w:rsidRPr="007D7F1C" w:rsidRDefault="007D7F1C" w:rsidP="007D7F1C">
      <w:pPr>
        <w:spacing w:line="240" w:lineRule="auto"/>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El 30,28% está en el área administrativa. </w:t>
      </w:r>
    </w:p>
    <w:p w14:paraId="403E20E5"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Los datos están publicados en los indicadores de relaciones laborales que manejan las empresas de ISA. </w:t>
      </w:r>
      <w:r w:rsidRPr="007D7F1C">
        <w:rPr>
          <w:rFonts w:ascii="Tahoma" w:eastAsia="Aptos" w:hAnsi="Tahoma" w:cs="Tahoma"/>
          <w:b/>
          <w:kern w:val="0"/>
          <w:lang w:val="es-ES" w:eastAsia="es-CO"/>
          <w14:ligatures w14:val="none"/>
        </w:rPr>
        <w:t>GRI 2-30.a</w:t>
      </w:r>
    </w:p>
    <w:p w14:paraId="2A80CFFA"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Las condiciones laborales de los colaboradores de TRANSELCA y los términos de empleo para los trabajadores del régimen ordinario fijo se determinan con base en los acuerdos de negociación colectiva de la compañía. Para los trabajadores de régimen de salario integral se presenta solicitud a la Junta Directiva previo análisis del beneficio para su aprobación. </w:t>
      </w:r>
      <w:r w:rsidRPr="007D7F1C">
        <w:rPr>
          <w:rFonts w:ascii="Tahoma" w:eastAsia="Aptos" w:hAnsi="Tahoma" w:cs="Tahoma"/>
          <w:b/>
          <w:kern w:val="0"/>
          <w:lang w:val="es-ES" w:eastAsia="es-CO"/>
          <w14:ligatures w14:val="none"/>
        </w:rPr>
        <w:t>GRI 2-30. b</w:t>
      </w:r>
    </w:p>
    <w:p w14:paraId="2AB77B0B"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La política salarial de la compañía comprende dos regímenes: </w:t>
      </w:r>
    </w:p>
    <w:p w14:paraId="5BF82AF0" w14:textId="77777777" w:rsidR="007D7F1C" w:rsidRPr="007D7F1C" w:rsidRDefault="007D7F1C" w:rsidP="00164509">
      <w:pPr>
        <w:numPr>
          <w:ilvl w:val="0"/>
          <w:numId w:val="130"/>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Ordinario fijo que aplica para el 83,3% de los colaboradores. </w:t>
      </w:r>
    </w:p>
    <w:p w14:paraId="5A942023" w14:textId="77777777" w:rsidR="007D7F1C" w:rsidRPr="007D7F1C" w:rsidRDefault="007D7F1C" w:rsidP="00164509">
      <w:pPr>
        <w:numPr>
          <w:ilvl w:val="0"/>
          <w:numId w:val="130"/>
        </w:num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Salario integral para el 16,7% de trabajadores, especialmente de cargos directivos. </w:t>
      </w:r>
      <w:r w:rsidRPr="007D7F1C">
        <w:rPr>
          <w:rFonts w:ascii="Tahoma" w:eastAsia="Aptos" w:hAnsi="Tahoma" w:cs="Tahoma"/>
          <w:b/>
          <w:kern w:val="0"/>
          <w:lang w:val="es-ES" w:eastAsia="es-CO"/>
          <w14:ligatures w14:val="none"/>
        </w:rPr>
        <w:t>GRI 2-30. b</w:t>
      </w:r>
    </w:p>
    <w:p w14:paraId="7FA1CE94" w14:textId="132C4651"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A </w:t>
      </w:r>
      <w:r w:rsidR="00F95A60" w:rsidRPr="007D7F1C">
        <w:rPr>
          <w:rFonts w:ascii="Tahoma" w:eastAsia="Aptos" w:hAnsi="Tahoma" w:cs="Tahoma"/>
          <w:kern w:val="0"/>
          <w:lang w:val="es-ES" w:eastAsia="es-CO"/>
          <w14:ligatures w14:val="none"/>
        </w:rPr>
        <w:t>continuación,</w:t>
      </w:r>
      <w:r w:rsidRPr="007D7F1C">
        <w:rPr>
          <w:rFonts w:ascii="Tahoma" w:eastAsia="Aptos" w:hAnsi="Tahoma" w:cs="Tahoma"/>
          <w:kern w:val="0"/>
          <w:lang w:val="es-ES" w:eastAsia="es-CO"/>
          <w14:ligatures w14:val="none"/>
        </w:rPr>
        <w:t xml:space="preserve"> se detallan algunos de los beneficios y prestaciones sociales de los trabajadores de acuerdo con el régimen salarial: </w:t>
      </w:r>
    </w:p>
    <w:p w14:paraId="7D7F0B3C"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Seguro de vida</w:t>
      </w:r>
    </w:p>
    <w:p w14:paraId="0DDEE639"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Asistencia sanitaria</w:t>
      </w:r>
    </w:p>
    <w:p w14:paraId="3B32E210"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lastRenderedPageBreak/>
        <w:t>- Cobertura por incapacidad e invalidez</w:t>
      </w:r>
    </w:p>
    <w:p w14:paraId="2A1752FC" w14:textId="77777777" w:rsidR="007D7F1C" w:rsidRPr="002028D5" w:rsidRDefault="007D7F1C" w:rsidP="007D7F1C">
      <w:pPr>
        <w:tabs>
          <w:tab w:val="left" w:pos="2127"/>
        </w:tabs>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xml:space="preserve">- </w:t>
      </w:r>
      <w:r w:rsidRPr="002028D5">
        <w:rPr>
          <w:rFonts w:ascii="Tahoma" w:eastAsia="Aptos" w:hAnsi="Tahoma" w:cs="Tahoma"/>
          <w:kern w:val="0"/>
          <w:lang w:val="es-ES" w:eastAsia="es-CO"/>
          <w14:ligatures w14:val="none"/>
        </w:rPr>
        <w:t>Permiso parental: Se aplica tal y como establece la ley (15 días hábiles más 3 días adicionales). NO ES CLARO</w:t>
      </w:r>
    </w:p>
    <w:p w14:paraId="5BD758D9"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2028D5">
        <w:rPr>
          <w:rFonts w:ascii="Tahoma" w:eastAsia="Aptos" w:hAnsi="Tahoma" w:cs="Tahoma"/>
          <w:kern w:val="0"/>
          <w:lang w:val="es-ES" w:eastAsia="es-CO"/>
          <w14:ligatures w14:val="none"/>
        </w:rPr>
        <w:t>- Provisiones por jubilación: No aplica</w:t>
      </w:r>
      <w:r w:rsidRPr="007D7F1C">
        <w:rPr>
          <w:rFonts w:ascii="Tahoma" w:eastAsia="Aptos" w:hAnsi="Tahoma" w:cs="Tahoma"/>
          <w:kern w:val="0"/>
          <w:lang w:val="es-ES" w:eastAsia="es-CO"/>
          <w14:ligatures w14:val="none"/>
        </w:rPr>
        <w:t xml:space="preserve"> debido a que las pensiones otorgadas por la convención perdieron vigencia según lo establecido en el Acto Legislativo 01 de 2005. </w:t>
      </w:r>
    </w:p>
    <w:p w14:paraId="6F786BB9"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kern w:val="0"/>
          <w:lang w:val="es-ES" w:eastAsia="es-CO"/>
          <w14:ligatures w14:val="none"/>
        </w:rPr>
        <w:t>- Participación accionarial: No aplica</w:t>
      </w:r>
    </w:p>
    <w:p w14:paraId="79C991D0"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 xml:space="preserve">GRI 401-2.a: </w:t>
      </w:r>
      <w:r w:rsidRPr="007D7F1C">
        <w:rPr>
          <w:rFonts w:ascii="Tahoma" w:eastAsia="Aptos" w:hAnsi="Tahoma" w:cs="Tahoma"/>
          <w:kern w:val="0"/>
          <w:lang w:val="es-ES" w:eastAsia="es-CO"/>
          <w14:ligatures w14:val="none"/>
        </w:rPr>
        <w:t>Dado que las políticas laborales de TRANSELCA no contemplan tiempo parcial, los beneficios anteriormente mencionados aplican para todos los trabajadores con contrato a término indefinido y régimen ordinario fijo y régimen salario integral.</w:t>
      </w:r>
    </w:p>
    <w:p w14:paraId="25C835E2" w14:textId="77777777" w:rsidR="007D7F1C" w:rsidRPr="007D7F1C" w:rsidRDefault="007D7F1C" w:rsidP="007D7F1C">
      <w:pPr>
        <w:spacing w:line="240" w:lineRule="auto"/>
        <w:jc w:val="both"/>
        <w:rPr>
          <w:rFonts w:ascii="Tahoma" w:eastAsia="Aptos" w:hAnsi="Tahoma" w:cs="Tahoma"/>
          <w:kern w:val="0"/>
          <w:lang w:val="es-ES" w:eastAsia="es-CO"/>
          <w14:ligatures w14:val="none"/>
        </w:rPr>
      </w:pPr>
      <w:r w:rsidRPr="007D7F1C">
        <w:rPr>
          <w:rFonts w:ascii="Tahoma" w:eastAsia="Aptos" w:hAnsi="Tahoma" w:cs="Tahoma"/>
          <w:b/>
          <w:kern w:val="0"/>
          <w:lang w:val="es-ES" w:eastAsia="es-CO"/>
          <w14:ligatures w14:val="none"/>
        </w:rPr>
        <w:t>Nota:</w:t>
      </w:r>
      <w:r w:rsidRPr="007D7F1C">
        <w:rPr>
          <w:rFonts w:ascii="Tahoma" w:eastAsia="Aptos" w:hAnsi="Tahoma" w:cs="Tahoma"/>
          <w:kern w:val="0"/>
          <w:lang w:val="es-ES" w:eastAsia="es-CO"/>
          <w14:ligatures w14:val="none"/>
        </w:rPr>
        <w:t xml:space="preserve"> Las operaciones significativas tienen que ver con aquellas que representan utilidades importantes para el negocio o que, aún pequeñas, tienen importancia estratégica a futuro tanto para la organización como para sus grupos de interés. </w:t>
      </w:r>
      <w:r w:rsidRPr="007D7F1C">
        <w:rPr>
          <w:rFonts w:ascii="Tahoma" w:eastAsia="Aptos" w:hAnsi="Tahoma" w:cs="Tahoma"/>
          <w:b/>
          <w:kern w:val="0"/>
          <w:lang w:val="es-ES" w:eastAsia="es-CO"/>
          <w14:ligatures w14:val="none"/>
        </w:rPr>
        <w:t>GRI 401-2. b</w:t>
      </w:r>
    </w:p>
    <w:p w14:paraId="3651696C" w14:textId="77777777" w:rsidR="00B0706D" w:rsidRDefault="00B0706D">
      <w:pPr>
        <w:rPr>
          <w:rFonts w:ascii="Calibri" w:hAnsi="Calibri" w:cs="Calibri"/>
          <w:sz w:val="52"/>
          <w:szCs w:val="52"/>
          <w:lang w:val="es-ES"/>
        </w:rPr>
      </w:pPr>
    </w:p>
    <w:p w14:paraId="5A097018" w14:textId="77777777" w:rsidR="00B0706D" w:rsidRDefault="00B0706D">
      <w:pPr>
        <w:rPr>
          <w:rFonts w:ascii="Calibri" w:hAnsi="Calibri" w:cs="Calibri"/>
          <w:sz w:val="52"/>
          <w:szCs w:val="52"/>
          <w:lang w:val="es-ES"/>
        </w:rPr>
      </w:pPr>
    </w:p>
    <w:p w14:paraId="196E61A4" w14:textId="77777777" w:rsidR="00B0706D" w:rsidRDefault="00B0706D">
      <w:pPr>
        <w:rPr>
          <w:rFonts w:ascii="Calibri" w:hAnsi="Calibri" w:cs="Calibri"/>
          <w:sz w:val="52"/>
          <w:szCs w:val="52"/>
          <w:lang w:val="es-ES"/>
        </w:rPr>
      </w:pPr>
    </w:p>
    <w:p w14:paraId="582533D2" w14:textId="77777777" w:rsidR="00B0706D" w:rsidRDefault="00B0706D">
      <w:pPr>
        <w:rPr>
          <w:rFonts w:ascii="Calibri" w:hAnsi="Calibri" w:cs="Calibri"/>
          <w:sz w:val="52"/>
          <w:szCs w:val="52"/>
          <w:lang w:val="es-ES"/>
        </w:rPr>
      </w:pPr>
    </w:p>
    <w:p w14:paraId="4910C331" w14:textId="77777777" w:rsidR="00B0706D" w:rsidRDefault="00B0706D">
      <w:pPr>
        <w:rPr>
          <w:rFonts w:ascii="Calibri" w:hAnsi="Calibri" w:cs="Calibri"/>
          <w:sz w:val="52"/>
          <w:szCs w:val="52"/>
          <w:lang w:val="es-ES"/>
        </w:rPr>
      </w:pPr>
    </w:p>
    <w:p w14:paraId="2CC742E8" w14:textId="77777777" w:rsidR="00B0706D" w:rsidRDefault="00B0706D">
      <w:pPr>
        <w:rPr>
          <w:rFonts w:ascii="Calibri" w:hAnsi="Calibri" w:cs="Calibri"/>
          <w:sz w:val="52"/>
          <w:szCs w:val="52"/>
          <w:lang w:val="es-ES"/>
        </w:rPr>
      </w:pPr>
    </w:p>
    <w:p w14:paraId="0B839707" w14:textId="77777777" w:rsidR="00B0706D" w:rsidRDefault="00B0706D">
      <w:pPr>
        <w:rPr>
          <w:rFonts w:ascii="Calibri" w:hAnsi="Calibri" w:cs="Calibri"/>
          <w:sz w:val="52"/>
          <w:szCs w:val="52"/>
          <w:lang w:val="es-ES"/>
        </w:rPr>
      </w:pPr>
    </w:p>
    <w:p w14:paraId="55024D59" w14:textId="77777777" w:rsidR="00B0706D" w:rsidRDefault="00B0706D">
      <w:pPr>
        <w:rPr>
          <w:rFonts w:ascii="Calibri" w:hAnsi="Calibri" w:cs="Calibri"/>
          <w:sz w:val="52"/>
          <w:szCs w:val="52"/>
          <w:lang w:val="es-ES"/>
        </w:rPr>
      </w:pPr>
    </w:p>
    <w:p w14:paraId="0E3C66F6" w14:textId="77777777" w:rsidR="005F7936" w:rsidRDefault="005F7936">
      <w:pPr>
        <w:rPr>
          <w:rFonts w:ascii="Calibri" w:hAnsi="Calibri" w:cs="Calibri"/>
          <w:sz w:val="52"/>
          <w:szCs w:val="52"/>
          <w:lang w:val="es-ES"/>
        </w:rPr>
      </w:pPr>
    </w:p>
    <w:p w14:paraId="74FD13CB" w14:textId="3697D18D" w:rsidR="00B0706D" w:rsidRPr="005F7936" w:rsidRDefault="005F7936" w:rsidP="00B0706D">
      <w:pPr>
        <w:spacing w:line="259" w:lineRule="auto"/>
        <w:rPr>
          <w:rFonts w:ascii="Tahoma" w:eastAsia="Times New Roman" w:hAnsi="Tahoma" w:cs="Tahoma"/>
          <w:b/>
          <w:bCs/>
          <w:color w:val="0070C0"/>
          <w:kern w:val="0"/>
          <w:sz w:val="36"/>
          <w:szCs w:val="36"/>
          <w:lang w:eastAsia="es-CO"/>
          <w14:ligatures w14:val="none"/>
        </w:rPr>
      </w:pPr>
      <w:r w:rsidRPr="005F7936">
        <w:rPr>
          <w:rFonts w:ascii="Tahoma" w:eastAsia="Times New Roman" w:hAnsi="Tahoma" w:cs="Tahoma"/>
          <w:b/>
          <w:bCs/>
          <w:color w:val="0070C0"/>
          <w:kern w:val="0"/>
          <w:sz w:val="36"/>
          <w:szCs w:val="36"/>
          <w:lang w:eastAsia="es-CO"/>
          <w14:ligatures w14:val="none"/>
        </w:rPr>
        <w:lastRenderedPageBreak/>
        <w:t>Sistema Integrado de Gestión</w:t>
      </w:r>
    </w:p>
    <w:p w14:paraId="2BED4D1B" w14:textId="77777777" w:rsidR="00B0706D" w:rsidRPr="00B0706D" w:rsidRDefault="00B0706D" w:rsidP="00B0706D">
      <w:pPr>
        <w:spacing w:line="259" w:lineRule="auto"/>
        <w:jc w:val="both"/>
        <w:rPr>
          <w:rFonts w:ascii="Tahoma" w:eastAsia="Times New Roman" w:hAnsi="Tahoma" w:cs="Tahoma"/>
          <w:color w:val="000000"/>
          <w:kern w:val="0"/>
          <w:lang w:eastAsia="es-CO"/>
          <w14:ligatures w14:val="none"/>
        </w:rPr>
      </w:pPr>
      <w:r w:rsidRPr="00B0706D">
        <w:rPr>
          <w:rFonts w:ascii="Tahoma" w:eastAsia="Times New Roman" w:hAnsi="Tahoma" w:cs="Tahoma"/>
          <w:color w:val="000000"/>
          <w:kern w:val="0"/>
          <w:lang w:eastAsia="es-CO"/>
          <w14:ligatures w14:val="none"/>
        </w:rPr>
        <w:t xml:space="preserve">Mantener el alto desempeño del Sistema Integrado de Gestión (SIG), así como las certificaciones que lo avalan, favorece la organización interna de la compañía, asegura el cumplimiento de sus requisitos legales y aumenta su competitividad. </w:t>
      </w:r>
    </w:p>
    <w:p w14:paraId="49B3D01C" w14:textId="77777777" w:rsidR="00B0706D" w:rsidRPr="00B0706D" w:rsidRDefault="00B0706D" w:rsidP="00B0706D">
      <w:pPr>
        <w:spacing w:line="259" w:lineRule="auto"/>
        <w:jc w:val="both"/>
        <w:rPr>
          <w:rFonts w:ascii="Tahoma" w:eastAsia="Times New Roman" w:hAnsi="Tahoma" w:cs="Tahoma"/>
          <w:color w:val="000000"/>
          <w:kern w:val="0"/>
          <w:lang w:eastAsia="es-CO"/>
          <w14:ligatures w14:val="none"/>
        </w:rPr>
      </w:pPr>
      <w:r w:rsidRPr="00B0706D">
        <w:rPr>
          <w:rFonts w:ascii="Tahoma" w:eastAsia="Times New Roman" w:hAnsi="Tahoma" w:cs="Tahoma"/>
          <w:color w:val="000000"/>
          <w:kern w:val="0"/>
          <w:lang w:eastAsia="es-CO"/>
          <w14:ligatures w14:val="none"/>
        </w:rPr>
        <w:t>Este sistema optimiza el recurso humano y financiero al tiempo que apoya el logro de los objetivos estratégicos que buscan satisfacer las necesidades y expectativas de los grupos de interés de TRANSELCA.</w:t>
      </w:r>
    </w:p>
    <w:p w14:paraId="1243B112" w14:textId="77777777" w:rsidR="00B0706D" w:rsidRPr="00B0706D" w:rsidRDefault="00B0706D" w:rsidP="00B0706D">
      <w:pPr>
        <w:spacing w:line="259" w:lineRule="auto"/>
        <w:jc w:val="both"/>
        <w:rPr>
          <w:rFonts w:ascii="Tahoma" w:eastAsia="Times New Roman" w:hAnsi="Tahoma" w:cs="Tahoma"/>
          <w:color w:val="000000"/>
          <w:kern w:val="0"/>
          <w:lang w:eastAsia="es-CO"/>
          <w14:ligatures w14:val="none"/>
        </w:rPr>
      </w:pPr>
      <w:r w:rsidRPr="00B0706D">
        <w:rPr>
          <w:rFonts w:ascii="Tahoma" w:eastAsia="Times New Roman" w:hAnsi="Tahoma" w:cs="Tahoma"/>
          <w:color w:val="000000"/>
          <w:kern w:val="0"/>
          <w:lang w:eastAsia="es-CO"/>
          <w14:ligatures w14:val="none"/>
        </w:rPr>
        <w:t>En la vigencia del 2024 TRANSELCA mantuvo la certificación de los cuatro componentes del Sistema Integrado de Gestión (SIG): Gestión de Calidad ISO 9001, Gestión Ambiental ISO 14001, Gestión de Activos ISO 55001, y Seguridad y Salud en el Trabajo a ISO 45001.</w:t>
      </w:r>
    </w:p>
    <w:p w14:paraId="49ECAC6C" w14:textId="77777777" w:rsidR="00B0706D" w:rsidRPr="00B0706D" w:rsidRDefault="00B0706D" w:rsidP="00B0706D">
      <w:pPr>
        <w:spacing w:line="259" w:lineRule="auto"/>
        <w:jc w:val="both"/>
        <w:rPr>
          <w:rFonts w:ascii="Tahoma" w:eastAsia="Times New Roman" w:hAnsi="Tahoma" w:cs="Tahoma"/>
          <w:color w:val="000000"/>
          <w:kern w:val="0"/>
          <w:lang w:eastAsia="es-CO"/>
          <w14:ligatures w14:val="none"/>
        </w:rPr>
      </w:pPr>
      <w:r w:rsidRPr="00B0706D">
        <w:rPr>
          <w:rFonts w:ascii="Tahoma" w:eastAsia="Times New Roman" w:hAnsi="Tahoma" w:cs="Tahoma"/>
          <w:color w:val="000000"/>
          <w:kern w:val="0"/>
          <w:lang w:eastAsia="es-CO"/>
          <w14:ligatures w14:val="none"/>
        </w:rPr>
        <w:t>Lo anterior fue producto del alto desempeño en el cumplimiento de los objetivos definidos en el sistema destacándose el nivel vanguardista en cultura de seguridad, la disminución importante en el consumo de agua, la tendencia a la baja en las fugas de SF6 y el componente operacional marcado por una energía no suministrada que superó las metas esperadas.</w:t>
      </w:r>
    </w:p>
    <w:p w14:paraId="179F7D82" w14:textId="77777777" w:rsidR="00B0706D" w:rsidRPr="00B0706D" w:rsidRDefault="00B0706D" w:rsidP="00B0706D">
      <w:pPr>
        <w:spacing w:line="259" w:lineRule="auto"/>
        <w:jc w:val="both"/>
        <w:rPr>
          <w:rFonts w:ascii="Tahoma" w:eastAsia="Times New Roman" w:hAnsi="Tahoma" w:cs="Tahoma"/>
          <w:color w:val="000000"/>
          <w:kern w:val="0"/>
          <w:lang w:eastAsia="es-CO"/>
          <w14:ligatures w14:val="none"/>
        </w:rPr>
      </w:pPr>
      <w:r w:rsidRPr="00B0706D">
        <w:rPr>
          <w:rFonts w:ascii="Tahoma" w:eastAsia="Times New Roman" w:hAnsi="Tahoma" w:cs="Tahoma"/>
          <w:color w:val="000000"/>
          <w:kern w:val="0"/>
          <w:lang w:eastAsia="es-CO"/>
          <w14:ligatures w14:val="none"/>
        </w:rPr>
        <w:t>Cabe destacar que en 2024 se logró la certificación para el Sistema de Equidad de Género con el Sello Oro Equipares, producto del esfuerzo de la organización por generar entornos laborales equitativos e igualitarios.</w:t>
      </w:r>
    </w:p>
    <w:p w14:paraId="023CA4BF" w14:textId="77777777" w:rsidR="008F77D6" w:rsidRPr="008F77D6" w:rsidRDefault="008F77D6" w:rsidP="008F77D6">
      <w:pPr>
        <w:rPr>
          <w:rFonts w:ascii="Tahoma" w:eastAsia="Aptos" w:hAnsi="Tahoma" w:cs="Tahoma"/>
          <w:kern w:val="0"/>
          <w:lang w:val="es-ES" w:eastAsia="es-CO"/>
          <w14:ligatures w14:val="none"/>
        </w:rPr>
      </w:pPr>
    </w:p>
    <w:p w14:paraId="6B88E6B6" w14:textId="22BC102B" w:rsidR="008F77D6" w:rsidRPr="005F7936" w:rsidRDefault="005F7936" w:rsidP="008F77D6">
      <w:pPr>
        <w:rPr>
          <w:rFonts w:ascii="Tahoma" w:eastAsia="Aptos" w:hAnsi="Tahoma" w:cs="Tahoma"/>
          <w:color w:val="0070C0"/>
          <w:kern w:val="0"/>
          <w:sz w:val="36"/>
          <w:szCs w:val="36"/>
          <w:lang w:val="es-ES" w:eastAsia="es-CO"/>
          <w14:ligatures w14:val="none"/>
        </w:rPr>
      </w:pPr>
      <w:r w:rsidRPr="005F7936">
        <w:rPr>
          <w:rFonts w:ascii="Tahoma" w:eastAsia="Aptos" w:hAnsi="Tahoma" w:cs="Tahoma"/>
          <w:b/>
          <w:color w:val="0070C0"/>
          <w:kern w:val="0"/>
          <w:sz w:val="36"/>
          <w:szCs w:val="36"/>
          <w:lang w:val="es-ES" w:eastAsia="es-CO"/>
          <w14:ligatures w14:val="none"/>
        </w:rPr>
        <w:t>TRANSELCA en el sector</w:t>
      </w:r>
    </w:p>
    <w:p w14:paraId="7E07BE37" w14:textId="067E1DC6" w:rsidR="008F77D6" w:rsidRPr="008F77D6" w:rsidRDefault="008F77D6" w:rsidP="008F77D6">
      <w:pPr>
        <w:rPr>
          <w:rFonts w:ascii="Tahoma" w:eastAsia="Aptos" w:hAnsi="Tahoma" w:cs="Tahoma"/>
          <w:kern w:val="0"/>
          <w:lang w:val="es-ES" w:eastAsia="es-CO"/>
          <w14:ligatures w14:val="none"/>
        </w:rPr>
      </w:pPr>
      <w:r w:rsidRPr="00B301A0">
        <w:rPr>
          <w:rFonts w:ascii="Tahoma" w:eastAsia="Aptos" w:hAnsi="Tahoma" w:cs="Tahoma"/>
          <w:b/>
          <w:bCs/>
          <w:color w:val="0070C0"/>
          <w:kern w:val="0"/>
          <w:lang w:val="es-ES" w:eastAsia="es-CO"/>
          <w14:ligatures w14:val="none"/>
        </w:rPr>
        <w:t>GRI 2-6</w:t>
      </w:r>
      <w:r w:rsidRPr="008F77D6">
        <w:rPr>
          <w:rFonts w:ascii="Tahoma" w:eastAsia="Aptos" w:hAnsi="Tahoma" w:cs="Tahoma"/>
          <w:kern w:val="0"/>
          <w:lang w:val="es-ES" w:eastAsia="es-CO"/>
          <w14:ligatures w14:val="none"/>
        </w:rPr>
        <w:t xml:space="preserve">  </w:t>
      </w:r>
      <w:sdt>
        <w:sdtPr>
          <w:rPr>
            <w:rFonts w:ascii="Tahoma" w:eastAsia="Aptos" w:hAnsi="Tahoma" w:cs="Tahoma"/>
            <w:kern w:val="0"/>
            <w:lang w:val="es-ES" w:eastAsia="es-CO"/>
            <w14:ligatures w14:val="none"/>
          </w:rPr>
          <w:tag w:val="goog_rdk_0"/>
          <w:id w:val="1043253538"/>
          <w:showingPlcHdr/>
        </w:sdtPr>
        <w:sdtEndPr/>
        <w:sdtContent>
          <w:r w:rsidR="00B301A0">
            <w:rPr>
              <w:rFonts w:ascii="Tahoma" w:eastAsia="Aptos" w:hAnsi="Tahoma" w:cs="Tahoma"/>
              <w:kern w:val="0"/>
              <w:lang w:val="es-ES" w:eastAsia="es-CO"/>
              <w14:ligatures w14:val="none"/>
            </w:rPr>
            <w:t xml:space="preserve">     </w:t>
          </w:r>
        </w:sdtContent>
      </w:sdt>
    </w:p>
    <w:p w14:paraId="0A193C8B" w14:textId="77777777" w:rsidR="008F77D6" w:rsidRPr="00DF0DC3" w:rsidRDefault="008F77D6" w:rsidP="008F77D6">
      <w:pPr>
        <w:rPr>
          <w:rFonts w:ascii="Tahoma" w:eastAsia="Aptos" w:hAnsi="Tahoma" w:cs="Tahoma"/>
          <w:b/>
          <w:bCs/>
          <w:color w:val="0070C0"/>
          <w:kern w:val="0"/>
          <w:lang w:val="es-ES" w:eastAsia="es-CO"/>
          <w14:ligatures w14:val="none"/>
        </w:rPr>
      </w:pPr>
      <w:r w:rsidRPr="00DF0DC3">
        <w:rPr>
          <w:rFonts w:ascii="Tahoma" w:eastAsia="Aptos" w:hAnsi="Tahoma" w:cs="Tahoma"/>
          <w:b/>
          <w:bCs/>
          <w:color w:val="0070C0"/>
          <w:kern w:val="0"/>
          <w:lang w:val="es-ES" w:eastAsia="es-CO"/>
          <w14:ligatures w14:val="none"/>
        </w:rPr>
        <w:t>GRI 2-6.b.i</w:t>
      </w:r>
      <w:r w:rsidRPr="00DF0DC3">
        <w:rPr>
          <w:rFonts w:ascii="Tahoma" w:eastAsia="Aptos" w:hAnsi="Tahoma" w:cs="Tahoma"/>
          <w:b/>
          <w:bCs/>
          <w:noProof/>
          <w:color w:val="0070C0"/>
          <w:kern w:val="0"/>
          <w:lang w:val="es-ES" w:eastAsia="es-CO"/>
          <w14:ligatures w14:val="none"/>
        </w:rPr>
        <w:drawing>
          <wp:anchor distT="0" distB="0" distL="114300" distR="114300" simplePos="0" relativeHeight="251688960" behindDoc="0" locked="0" layoutInCell="1" hidden="0" allowOverlap="1" wp14:anchorId="52EE07B2" wp14:editId="10AA2A4F">
            <wp:simplePos x="0" y="0"/>
            <wp:positionH relativeFrom="column">
              <wp:posOffset>1</wp:posOffset>
            </wp:positionH>
            <wp:positionV relativeFrom="paragraph">
              <wp:posOffset>635</wp:posOffset>
            </wp:positionV>
            <wp:extent cx="5400040" cy="1438275"/>
            <wp:effectExtent l="0" t="0" r="0" b="0"/>
            <wp:wrapSquare wrapText="bothSides" distT="0" distB="0" distL="114300" distR="114300"/>
            <wp:docPr id="11831774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400040" cy="1438275"/>
                    </a:xfrm>
                    <a:prstGeom prst="rect">
                      <a:avLst/>
                    </a:prstGeom>
                    <a:ln/>
                  </pic:spPr>
                </pic:pic>
              </a:graphicData>
            </a:graphic>
          </wp:anchor>
        </w:drawing>
      </w:r>
    </w:p>
    <w:p w14:paraId="05345E04" w14:textId="77777777" w:rsidR="008F77D6" w:rsidRPr="008F77D6" w:rsidRDefault="008F77D6" w:rsidP="008F77D6">
      <w:pPr>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El negocio de transporte de energía eléctrica </w:t>
      </w:r>
    </w:p>
    <w:p w14:paraId="450777CD"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La principal actividad de TRANSELCA, la cual representa el 55% de sus ingresos operacionales, es el transporte de energía eléctrica de alta tensión.</w:t>
      </w:r>
    </w:p>
    <w:p w14:paraId="4A8BBDBA"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Su remuneración se soporta en la Resolución CREG 011 de 2009 y se mantiene gracias a los altos estándares de calidad y eficiencia del servicio que supera las </w:t>
      </w:r>
      <w:r w:rsidRPr="008F77D6">
        <w:rPr>
          <w:rFonts w:ascii="Tahoma" w:eastAsia="Aptos" w:hAnsi="Tahoma" w:cs="Tahoma"/>
          <w:kern w:val="0"/>
          <w:lang w:val="es-ES" w:eastAsia="es-CO"/>
          <w14:ligatures w14:val="none"/>
        </w:rPr>
        <w:lastRenderedPageBreak/>
        <w:t>cifras establecidas en la regulación, alcanzando en 2024 una disponibilidad promedio acumulada de 99,91 % frente a la meta regulatoria de 99,55 %.</w:t>
      </w:r>
    </w:p>
    <w:p w14:paraId="6DFA62A2" w14:textId="77777777" w:rsidR="008F77D6" w:rsidRPr="00DF0DC3" w:rsidRDefault="008F77D6" w:rsidP="00DF0DC3">
      <w:pPr>
        <w:jc w:val="both"/>
        <w:rPr>
          <w:rFonts w:ascii="Tahoma" w:eastAsia="Aptos" w:hAnsi="Tahoma" w:cs="Tahoma"/>
          <w:b/>
          <w:bCs/>
          <w:color w:val="0070C0"/>
          <w:kern w:val="0"/>
          <w:lang w:val="es-ES" w:eastAsia="es-CO"/>
          <w14:ligatures w14:val="none"/>
        </w:rPr>
      </w:pPr>
      <w:r w:rsidRPr="00DF0DC3">
        <w:rPr>
          <w:rFonts w:ascii="Tahoma" w:eastAsia="Aptos" w:hAnsi="Tahoma" w:cs="Tahoma"/>
          <w:b/>
          <w:bCs/>
          <w:color w:val="0070C0"/>
          <w:kern w:val="0"/>
          <w:lang w:val="es-ES" w:eastAsia="es-CO"/>
          <w14:ligatures w14:val="none"/>
        </w:rPr>
        <w:t>GRI 2-6</w:t>
      </w:r>
    </w:p>
    <w:p w14:paraId="39A6C76E"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El negocio de conexión </w:t>
      </w:r>
    </w:p>
    <w:p w14:paraId="4E3D9410"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servicio de conexión, que ha ganado terreno en los últimos años, constituye la segunda fuente de ingresos operacionales TRANSELCA, con una participación del 42%. Estos negocios ofrecen servicios de conexión al Sistema Interconectado Nacional (STN), administrar, operar y mantener activos eléctricos y otros asociados a su negocio fundamental y la implementación de tecnologías de vanguardia como el proyecto de Smart Valves.</w:t>
      </w:r>
    </w:p>
    <w:p w14:paraId="2B660022"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Otros negocios </w:t>
      </w:r>
    </w:p>
    <w:p w14:paraId="031FD56C" w14:textId="77777777" w:rsidR="008F77D6" w:rsidRPr="00DF0DC3" w:rsidRDefault="008F77D6" w:rsidP="00DF0DC3">
      <w:pPr>
        <w:jc w:val="both"/>
        <w:rPr>
          <w:rFonts w:ascii="Tahoma" w:eastAsia="Aptos" w:hAnsi="Tahoma" w:cs="Tahoma"/>
          <w:b/>
          <w:bCs/>
          <w:color w:val="0070C0"/>
          <w:kern w:val="0"/>
          <w:lang w:val="es-ES" w:eastAsia="es-CO"/>
          <w14:ligatures w14:val="none"/>
        </w:rPr>
      </w:pPr>
      <w:r w:rsidRPr="00DF0DC3">
        <w:rPr>
          <w:rFonts w:ascii="Tahoma" w:eastAsia="Aptos" w:hAnsi="Tahoma" w:cs="Tahoma"/>
          <w:b/>
          <w:bCs/>
          <w:color w:val="0070C0"/>
          <w:kern w:val="0"/>
          <w:lang w:val="es-ES" w:eastAsia="es-CO"/>
          <w14:ligatures w14:val="none"/>
        </w:rPr>
        <w:t>GRI 2-6.a </w:t>
      </w:r>
    </w:p>
    <w:p w14:paraId="774B4521" w14:textId="77777777" w:rsidR="008F77D6" w:rsidRPr="008F77D6" w:rsidRDefault="008F77D6" w:rsidP="00DF0DC3">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También, tiene inversiones permanentes en el sector del transporte de energía en el exterior en las sociedades: Red de Energía del Perú S.A. REP S.A. ISA PERÚ S.A. ISA BOLIVIA S.A. </w:t>
      </w:r>
    </w:p>
    <w:p w14:paraId="1DA80C56" w14:textId="77777777" w:rsidR="008F77D6" w:rsidRPr="00DF0DC3" w:rsidRDefault="008F77D6" w:rsidP="00DF0DC3">
      <w:pPr>
        <w:jc w:val="both"/>
        <w:rPr>
          <w:rFonts w:ascii="Tahoma" w:eastAsia="Aptos" w:hAnsi="Tahoma" w:cs="Tahoma"/>
          <w:b/>
          <w:bCs/>
          <w:color w:val="0070C0"/>
          <w:kern w:val="0"/>
          <w:lang w:val="es-ES" w:eastAsia="es-CO"/>
          <w14:ligatures w14:val="none"/>
        </w:rPr>
      </w:pPr>
      <w:r w:rsidRPr="00DF0DC3">
        <w:rPr>
          <w:rFonts w:ascii="Tahoma" w:eastAsia="Aptos" w:hAnsi="Tahoma" w:cs="Tahoma"/>
          <w:b/>
          <w:bCs/>
          <w:color w:val="0070C0"/>
          <w:kern w:val="0"/>
          <w:lang w:val="es-ES" w:eastAsia="es-CO"/>
          <w14:ligatures w14:val="none"/>
        </w:rPr>
        <w:t>GRI 2-6.a</w:t>
      </w:r>
    </w:p>
    <w:p w14:paraId="745721E8" w14:textId="77777777" w:rsidR="008F77D6" w:rsidRPr="008F77D6" w:rsidRDefault="008F77D6" w:rsidP="008F77D6">
      <w:pPr>
        <w:rPr>
          <w:rFonts w:ascii="Tahoma" w:eastAsia="Aptos" w:hAnsi="Tahoma" w:cs="Tahoma"/>
          <w:kern w:val="0"/>
          <w:lang w:val="es-ES" w:eastAsia="es-CO"/>
          <w14:ligatures w14:val="none"/>
        </w:rPr>
      </w:pPr>
    </w:p>
    <w:p w14:paraId="0B9362E6" w14:textId="77777777" w:rsidR="008F77D6" w:rsidRPr="008F77D6" w:rsidRDefault="008F77D6" w:rsidP="008F77D6">
      <w:pPr>
        <w:rPr>
          <w:rFonts w:ascii="Tahoma" w:eastAsia="Aptos" w:hAnsi="Tahoma" w:cs="Tahoma"/>
          <w:kern w:val="0"/>
          <w:sz w:val="40"/>
          <w:szCs w:val="40"/>
          <w:lang w:val="es-ES" w:eastAsia="es-CO"/>
          <w14:ligatures w14:val="none"/>
        </w:rPr>
      </w:pPr>
      <w:r w:rsidRPr="008F77D6">
        <w:rPr>
          <w:rFonts w:ascii="Tahoma" w:eastAsia="Aptos" w:hAnsi="Tahoma" w:cs="Tahoma"/>
          <w:b/>
          <w:kern w:val="0"/>
          <w:sz w:val="40"/>
          <w:szCs w:val="40"/>
          <w:lang w:val="es-ES" w:eastAsia="es-CO"/>
          <w14:ligatures w14:val="none"/>
        </w:rPr>
        <w:t>Clientes</w:t>
      </w:r>
    </w:p>
    <w:p w14:paraId="3045CB40" w14:textId="77777777" w:rsidR="008F77D6" w:rsidRPr="00DF0DC3" w:rsidRDefault="008F77D6" w:rsidP="008F77D6">
      <w:pPr>
        <w:rPr>
          <w:rFonts w:ascii="Tahoma" w:eastAsia="Aptos" w:hAnsi="Tahoma" w:cs="Tahoma"/>
          <w:b/>
          <w:bCs/>
          <w:color w:val="0070C0"/>
          <w:kern w:val="0"/>
          <w:lang w:val="es-ES" w:eastAsia="es-CO"/>
          <w14:ligatures w14:val="none"/>
        </w:rPr>
      </w:pPr>
      <w:r w:rsidRPr="00DF0DC3">
        <w:rPr>
          <w:rFonts w:ascii="Tahoma" w:eastAsia="Aptos" w:hAnsi="Tahoma" w:cs="Tahoma"/>
          <w:b/>
          <w:bCs/>
          <w:color w:val="0070C0"/>
          <w:kern w:val="0"/>
          <w:lang w:val="es-ES" w:eastAsia="es-CO"/>
          <w14:ligatures w14:val="none"/>
        </w:rPr>
        <w:t>GRI 2-6 </w:t>
      </w:r>
    </w:p>
    <w:p w14:paraId="00932AD9"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negocio de TRANSECLA se ubica en la región del caribe colombiano donde está su infraestructura y sus clientes, los cuales son de diferente naturaleza: Sector eléctrico, sector privado y otros públicos. </w:t>
      </w:r>
    </w:p>
    <w:p w14:paraId="28DF7D15"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Sector eléctrico:</w:t>
      </w:r>
      <w:r w:rsidRPr="008F77D6">
        <w:rPr>
          <w:rFonts w:ascii="Tahoma" w:eastAsia="Aptos" w:hAnsi="Tahoma" w:cs="Tahoma"/>
          <w:kern w:val="0"/>
          <w:lang w:val="es-ES" w:eastAsia="es-CO"/>
          <w14:ligatures w14:val="none"/>
        </w:rPr>
        <w:t xml:space="preserve"> empresas con actividades en generación, comercialización y/o transmisión de energía eléctrica.</w:t>
      </w:r>
    </w:p>
    <w:p w14:paraId="20CE5597"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AIRE-E</w:t>
      </w:r>
    </w:p>
    <w:p w14:paraId="26B6415C"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AFINIA</w:t>
      </w:r>
    </w:p>
    <w:p w14:paraId="38F62ACB"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GECELCA  </w:t>
      </w:r>
    </w:p>
    <w:p w14:paraId="56D49110"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CELSIA  </w:t>
      </w:r>
    </w:p>
    <w:p w14:paraId="33CDF6D8"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Empresas Públicas de Medellín – EEPPM</w:t>
      </w:r>
    </w:p>
    <w:p w14:paraId="748C99A1" w14:textId="1A64DA15" w:rsidR="004124F4" w:rsidRPr="00BC28E1"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CENTRAL TERMOCARTAGENA</w:t>
      </w:r>
    </w:p>
    <w:p w14:paraId="733BE81F"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ENEL COLOMBIA</w:t>
      </w:r>
    </w:p>
    <w:p w14:paraId="5C44EE83"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EER</w:t>
      </w:r>
    </w:p>
    <w:p w14:paraId="5B7EFE2A" w14:textId="77777777" w:rsidR="008F77D6" w:rsidRPr="008F77D6" w:rsidRDefault="008F77D6" w:rsidP="00164509">
      <w:pPr>
        <w:numPr>
          <w:ilvl w:val="0"/>
          <w:numId w:val="134"/>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TRELCA</w:t>
      </w:r>
    </w:p>
    <w:p w14:paraId="31E984A6"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Sector privado y público:</w:t>
      </w:r>
      <w:r w:rsidRPr="008F77D6">
        <w:rPr>
          <w:rFonts w:ascii="Tahoma" w:eastAsia="Aptos" w:hAnsi="Tahoma" w:cs="Tahoma"/>
          <w:kern w:val="0"/>
          <w:lang w:val="es-ES" w:eastAsia="es-CO"/>
          <w14:ligatures w14:val="none"/>
        </w:rPr>
        <w:t xml:space="preserve"> grandes consumidores de energía eléctrica que demandan mayor exigencia en la disponibilidad del servicio de energía y se conectan al sistema de transmisión de alta tensión de TRANSELCA.  </w:t>
      </w:r>
    </w:p>
    <w:p w14:paraId="6692A3A7"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CENIT</w:t>
      </w:r>
    </w:p>
    <w:p w14:paraId="229D2539"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DRUMMOND LTD</w:t>
      </w:r>
    </w:p>
    <w:p w14:paraId="01A9B03C"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CARBONES DEL CERREJÓN</w:t>
      </w:r>
    </w:p>
    <w:p w14:paraId="65DAADEF"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CERRO MATOSO</w:t>
      </w:r>
    </w:p>
    <w:p w14:paraId="114F9640"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TENARIS TUBOCARIBE</w:t>
      </w:r>
    </w:p>
    <w:p w14:paraId="3543CDD2" w14:textId="77777777" w:rsidR="008F77D6" w:rsidRPr="008F77D6" w:rsidRDefault="008F77D6" w:rsidP="00164509">
      <w:pPr>
        <w:numPr>
          <w:ilvl w:val="0"/>
          <w:numId w:val="133"/>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COOLECHERA</w:t>
      </w:r>
    </w:p>
    <w:p w14:paraId="053BD074"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 xml:space="preserve">Otros públicos: </w:t>
      </w:r>
      <w:r w:rsidRPr="008F77D6">
        <w:rPr>
          <w:rFonts w:ascii="Tahoma" w:eastAsia="Aptos" w:hAnsi="Tahoma" w:cs="Tahoma"/>
          <w:kern w:val="0"/>
          <w:lang w:val="es-ES" w:eastAsia="es-CO"/>
          <w14:ligatures w14:val="none"/>
        </w:rPr>
        <w:t>Instituciones o empresas que, por su naturaleza, demandan calidad y continuidad de la prestación del servicio por su natural</w:t>
      </w:r>
    </w:p>
    <w:p w14:paraId="62B8997A" w14:textId="77777777" w:rsidR="008F77D6" w:rsidRPr="008F77D6" w:rsidRDefault="008F77D6" w:rsidP="00164509">
      <w:pPr>
        <w:numPr>
          <w:ilvl w:val="0"/>
          <w:numId w:val="132"/>
        </w:numPr>
        <w:pBdr>
          <w:top w:val="nil"/>
          <w:left w:val="nil"/>
          <w:bottom w:val="nil"/>
          <w:right w:val="nil"/>
          <w:between w:val="nil"/>
        </w:pBdr>
        <w:spacing w:after="0"/>
        <w:jc w:val="both"/>
        <w:rPr>
          <w:rFonts w:ascii="Tahoma" w:eastAsia="Aptos" w:hAnsi="Tahoma" w:cs="Tahoma"/>
          <w:kern w:val="0"/>
          <w:lang w:val="es-ES" w:eastAsia="es-CO"/>
          <w14:ligatures w14:val="none"/>
        </w:rPr>
      </w:pPr>
      <w:r w:rsidRPr="008F77D6">
        <w:rPr>
          <w:rFonts w:ascii="Tahoma" w:eastAsia="Aptos" w:hAnsi="Tahoma" w:cs="Tahoma"/>
          <w:color w:val="000000"/>
          <w:kern w:val="0"/>
          <w:lang w:val="es-ES" w:eastAsia="es-CO"/>
          <w14:ligatures w14:val="none"/>
        </w:rPr>
        <w:t>INPEC </w:t>
      </w:r>
    </w:p>
    <w:p w14:paraId="5EE4C505" w14:textId="77777777" w:rsidR="008F77D6" w:rsidRPr="008F77D6" w:rsidRDefault="008F77D6" w:rsidP="00164509">
      <w:pPr>
        <w:numPr>
          <w:ilvl w:val="0"/>
          <w:numId w:val="132"/>
        </w:numPr>
        <w:pBdr>
          <w:top w:val="nil"/>
          <w:left w:val="nil"/>
          <w:bottom w:val="nil"/>
          <w:right w:val="nil"/>
          <w:between w:val="nil"/>
        </w:pBdr>
        <w:jc w:val="both"/>
        <w:rPr>
          <w:rFonts w:ascii="Tahoma" w:eastAsia="Aptos" w:hAnsi="Tahoma" w:cs="Tahoma"/>
          <w:kern w:val="0"/>
          <w:lang w:val="es-ES" w:eastAsia="es-CO"/>
          <w14:ligatures w14:val="none"/>
        </w:rPr>
      </w:pPr>
      <w:r w:rsidRPr="008F77D6">
        <w:rPr>
          <w:rFonts w:ascii="Tahoma" w:eastAsia="Aptos" w:hAnsi="Tahoma" w:cs="Tahoma"/>
          <w:color w:val="000000"/>
          <w:kern w:val="0"/>
          <w:lang w:val="es-ES" w:eastAsia="es-CO"/>
          <w14:ligatures w14:val="none"/>
        </w:rPr>
        <w:t>Triple A </w:t>
      </w:r>
    </w:p>
    <w:p w14:paraId="096739A5"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Medición de la satisfacción de clientes</w:t>
      </w:r>
    </w:p>
    <w:p w14:paraId="581B26D6"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TRANSELCA cuenta con un instrumento que se aplica bienal para hacer control y seguimiento a la relación con sus clientes, basado en la metodología CSLM (Consumer Satisfaction Loyalty Management), la cual permite conocer el nivel de satisfacción del cliente, con el fin de hacer seguimiento a las acciones:</w:t>
      </w:r>
    </w:p>
    <w:p w14:paraId="24ADCCEA"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Este modelo combina la satisfacción reportada por los encuestados con el desempeño de cada uno de los atributos y la importancia (impacto) propia de cada atributo.</w:t>
      </w:r>
    </w:p>
    <w:p w14:paraId="3A9AF96F"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Desempeño:</w:t>
      </w:r>
      <w:r w:rsidRPr="008F77D6">
        <w:rPr>
          <w:rFonts w:ascii="Tahoma" w:eastAsia="Aptos" w:hAnsi="Tahoma" w:cs="Tahoma"/>
          <w:kern w:val="0"/>
          <w:lang w:val="es-ES" w:eastAsia="es-CO"/>
          <w14:ligatures w14:val="none"/>
        </w:rPr>
        <w:t xml:space="preserve"> es la respuesta promedio dada por los entrevistados a cada uno de los atributos que conforman los servicios.</w:t>
      </w:r>
    </w:p>
    <w:p w14:paraId="665FFBA7"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Impacto:</w:t>
      </w:r>
      <w:r w:rsidRPr="008F77D6">
        <w:rPr>
          <w:rFonts w:ascii="Tahoma" w:eastAsia="Aptos" w:hAnsi="Tahoma" w:cs="Tahoma"/>
          <w:kern w:val="0"/>
          <w:lang w:val="es-ES" w:eastAsia="es-CO"/>
          <w14:ligatures w14:val="none"/>
        </w:rPr>
        <w:t xml:space="preserve"> el peso que se le da a cada atributo a partir de un modelo multivariado.</w:t>
      </w:r>
    </w:p>
    <w:p w14:paraId="0B4617D4"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Este diseño metodológico permite obtener matrices de acción que muestran el desempeño de cada uno de los procesos del servicio y a su vez identificar los momentos que se deben tomar acción, mejorar u optimizar.</w:t>
      </w:r>
    </w:p>
    <w:p w14:paraId="1B0CD18C"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Para la medición en 2024, fueron 58 clientes encuestados en total, donde TRANSELCA alcanzó un resultado de satisfacción del 86,5 %. Este resultado muestra una estabilidad con tendencia positiva teniendo en cuenta que en 2022 el resultado fue de 86,4, de esta manera la empresa se consolida en un nivel de alto desempeño. </w:t>
      </w:r>
    </w:p>
    <w:p w14:paraId="55CF9DCF" w14:textId="77777777" w:rsidR="008F77D6" w:rsidRPr="008F77D6" w:rsidRDefault="008F77D6" w:rsidP="008F77D6">
      <w:pPr>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proceso de conexión con clientes presenta crecimiento, mientras que se identifican oportunidades de mejora en la gestión comercial. Por su parte, el proceso de Servicios Asociados se encuentra evaluado en el nivel alto.  </w:t>
      </w:r>
    </w:p>
    <w:p w14:paraId="18E5DFA6" w14:textId="77777777" w:rsidR="008F77D6" w:rsidRPr="008F77D6" w:rsidRDefault="008F77D6" w:rsidP="008F77D6">
      <w:pPr>
        <w:rPr>
          <w:rFonts w:ascii="Tahoma" w:eastAsia="Aptos" w:hAnsi="Tahoma" w:cs="Tahoma"/>
          <w:kern w:val="0"/>
          <w:lang w:val="es-ES" w:eastAsia="es-CO"/>
          <w14:ligatures w14:val="none"/>
        </w:rPr>
      </w:pPr>
    </w:p>
    <w:p w14:paraId="45C1A7CA" w14:textId="77777777" w:rsidR="008F77D6" w:rsidRPr="00163F33" w:rsidRDefault="008F77D6" w:rsidP="008F77D6">
      <w:pPr>
        <w:spacing w:line="240" w:lineRule="auto"/>
        <w:jc w:val="both"/>
        <w:rPr>
          <w:rFonts w:ascii="Tahoma" w:eastAsia="Aptos" w:hAnsi="Tahoma" w:cs="Tahoma"/>
          <w:color w:val="0070C0"/>
          <w:kern w:val="0"/>
          <w:sz w:val="40"/>
          <w:szCs w:val="40"/>
          <w:lang w:val="pt-BR" w:eastAsia="es-CO"/>
          <w14:ligatures w14:val="none"/>
        </w:rPr>
      </w:pPr>
      <w:r w:rsidRPr="00163F33">
        <w:rPr>
          <w:rFonts w:ascii="Tahoma" w:eastAsia="Aptos" w:hAnsi="Tahoma" w:cs="Tahoma"/>
          <w:b/>
          <w:color w:val="0070C0"/>
          <w:kern w:val="0"/>
          <w:sz w:val="40"/>
          <w:szCs w:val="40"/>
          <w:lang w:val="pt-BR" w:eastAsia="es-CO"/>
          <w14:ligatures w14:val="none"/>
        </w:rPr>
        <w:t>Proveedores </w:t>
      </w:r>
    </w:p>
    <w:p w14:paraId="314ECAF9" w14:textId="77777777" w:rsidR="008F77D6" w:rsidRPr="00163F33" w:rsidRDefault="008F77D6" w:rsidP="008F77D6">
      <w:pPr>
        <w:spacing w:line="240" w:lineRule="auto"/>
        <w:jc w:val="both"/>
        <w:rPr>
          <w:rFonts w:ascii="Tahoma" w:eastAsia="Aptos" w:hAnsi="Tahoma" w:cs="Tahoma"/>
          <w:color w:val="0070C0"/>
          <w:kern w:val="0"/>
          <w:lang w:val="pt-BR" w:eastAsia="es-CO"/>
          <w14:ligatures w14:val="none"/>
        </w:rPr>
      </w:pPr>
      <w:r w:rsidRPr="00163F33">
        <w:rPr>
          <w:rFonts w:ascii="Tahoma" w:eastAsia="Aptos" w:hAnsi="Tahoma" w:cs="Tahoma"/>
          <w:b/>
          <w:color w:val="0070C0"/>
          <w:kern w:val="0"/>
          <w:lang w:val="pt-BR" w:eastAsia="es-CO"/>
          <w14:ligatures w14:val="none"/>
        </w:rPr>
        <w:t>GRI 2-6 GRI 204-1 GRI 308-1 GRI 308-2 GRI 414-1 GRI 414-2</w:t>
      </w:r>
    </w:p>
    <w:p w14:paraId="36CD7D16"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Estrategia de sostenibilidad en la gestión de la cadena de suministro </w:t>
      </w:r>
    </w:p>
    <w:p w14:paraId="04448B8A"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2-6</w:t>
      </w:r>
    </w:p>
    <w:p w14:paraId="54A9D8BD"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Las estrategias para alcanzar los objetivos de sostenibilidad en la cadena de suministro, la cual está conformada por 174 proveedores, parten de los requerimientos que establece TRANSELCA para verificar la calidad, el cumplimiento de las leyes y el análisis de riesgos.</w:t>
      </w:r>
    </w:p>
    <w:p w14:paraId="12ECBFED"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Selección de proveedores</w:t>
      </w:r>
    </w:p>
    <w:p w14:paraId="1F8BA4D7"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En el proceso de evaluación de ofertas para la selección de proveedores, TRANSELCA incluye criterios financieros y no financieros como:</w:t>
      </w:r>
    </w:p>
    <w:p w14:paraId="4B3F995B" w14:textId="77777777" w:rsidR="008F77D6" w:rsidRPr="008F77D6" w:rsidRDefault="008F77D6" w:rsidP="00164509">
      <w:pPr>
        <w:numPr>
          <w:ilvl w:val="0"/>
          <w:numId w:val="135"/>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Cumplimiento del Código de Conducta Proveedores </w:t>
      </w:r>
    </w:p>
    <w:p w14:paraId="61EB1C50" w14:textId="77777777" w:rsidR="008F77D6" w:rsidRPr="008F77D6" w:rsidRDefault="008F77D6" w:rsidP="00164509">
      <w:pPr>
        <w:numPr>
          <w:ilvl w:val="0"/>
          <w:numId w:val="135"/>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Verificación de listas para el control de lavado de activos y financiación del terrorismo </w:t>
      </w:r>
    </w:p>
    <w:p w14:paraId="13AA0441" w14:textId="77777777" w:rsidR="008F77D6" w:rsidRPr="008F77D6" w:rsidRDefault="008F77D6" w:rsidP="00164509">
      <w:pPr>
        <w:numPr>
          <w:ilvl w:val="0"/>
          <w:numId w:val="135"/>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Evaluación de desempeño </w:t>
      </w:r>
    </w:p>
    <w:p w14:paraId="7C71E742" w14:textId="77777777" w:rsidR="008F77D6" w:rsidRPr="008F77D6" w:rsidRDefault="008F77D6" w:rsidP="00164509">
      <w:pPr>
        <w:numPr>
          <w:ilvl w:val="0"/>
          <w:numId w:val="135"/>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Sistemas de gestión (Calidad, Ambiental, Seguridad y Salud en el Trabajo) </w:t>
      </w:r>
    </w:p>
    <w:p w14:paraId="38C1D147" w14:textId="77777777" w:rsidR="008F77D6" w:rsidRPr="008F77D6" w:rsidRDefault="008F77D6" w:rsidP="00164509">
      <w:pPr>
        <w:numPr>
          <w:ilvl w:val="0"/>
          <w:numId w:val="135"/>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Autoevaluación de Seguridad y Salud en el Trabajo.</w:t>
      </w:r>
    </w:p>
    <w:p w14:paraId="7E8665D5"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p w14:paraId="04FDA2CE"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En esta evaluación, los criterios ambientales, sociales y de gobierno tienen un peso del 20%.  </w:t>
      </w:r>
    </w:p>
    <w:p w14:paraId="115B6712"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Clasificación de proveedores</w:t>
      </w:r>
    </w:p>
    <w:p w14:paraId="7A8DD3C9"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Como resultado de la evaluación, los proveedores se clasifican en una escala con un puntaje máximo de 100, como: </w:t>
      </w:r>
    </w:p>
    <w:p w14:paraId="2E02B357" w14:textId="77777777" w:rsidR="008F77D6" w:rsidRPr="008F77D6" w:rsidRDefault="008F77D6" w:rsidP="00164509">
      <w:pPr>
        <w:numPr>
          <w:ilvl w:val="0"/>
          <w:numId w:val="138"/>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color w:val="000000"/>
          <w:kern w:val="0"/>
          <w:lang w:val="es-ES" w:eastAsia="es-CO"/>
          <w14:ligatures w14:val="none"/>
        </w:rPr>
        <w:t xml:space="preserve">Bueno: </w:t>
      </w:r>
      <w:r w:rsidRPr="008F77D6">
        <w:rPr>
          <w:rFonts w:ascii="Tahoma" w:eastAsia="Aptos" w:hAnsi="Tahoma" w:cs="Tahoma"/>
          <w:color w:val="000000"/>
          <w:kern w:val="0"/>
          <w:lang w:val="es-ES" w:eastAsia="es-CO"/>
          <w14:ligatures w14:val="none"/>
        </w:rPr>
        <w:t>Mayor de</w:t>
      </w:r>
      <w:r w:rsidRPr="008F77D6">
        <w:rPr>
          <w:rFonts w:ascii="Tahoma" w:eastAsia="Aptos" w:hAnsi="Tahoma" w:cs="Tahoma"/>
          <w:b/>
          <w:color w:val="000000"/>
          <w:kern w:val="0"/>
          <w:lang w:val="es-ES" w:eastAsia="es-CO"/>
          <w14:ligatures w14:val="none"/>
        </w:rPr>
        <w:t xml:space="preserve"> </w:t>
      </w:r>
      <w:r w:rsidRPr="008F77D6">
        <w:rPr>
          <w:rFonts w:ascii="Tahoma" w:eastAsia="Aptos" w:hAnsi="Tahoma" w:cs="Tahoma"/>
          <w:color w:val="000000"/>
          <w:kern w:val="0"/>
          <w:lang w:val="es-ES" w:eastAsia="es-CO"/>
          <w14:ligatures w14:val="none"/>
        </w:rPr>
        <w:t>80 puntos: pueden ser seleccionados para invitaciones en los procesos de contratación sin ninguna restricción.</w:t>
      </w:r>
    </w:p>
    <w:p w14:paraId="38A6EB0B" w14:textId="77777777" w:rsidR="008F77D6" w:rsidRPr="008F77D6" w:rsidRDefault="008F77D6" w:rsidP="00164509">
      <w:pPr>
        <w:numPr>
          <w:ilvl w:val="0"/>
          <w:numId w:val="138"/>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color w:val="000000"/>
          <w:kern w:val="0"/>
          <w:lang w:val="es-ES" w:eastAsia="es-CO"/>
          <w14:ligatures w14:val="none"/>
        </w:rPr>
        <w:t>Aceptable:</w:t>
      </w:r>
      <w:r w:rsidRPr="008F77D6">
        <w:rPr>
          <w:rFonts w:ascii="Tahoma" w:eastAsia="Aptos" w:hAnsi="Tahoma" w:cs="Tahoma"/>
          <w:color w:val="000000"/>
          <w:kern w:val="0"/>
          <w:lang w:val="es-ES" w:eastAsia="es-CO"/>
          <w14:ligatures w14:val="none"/>
        </w:rPr>
        <w:t>  Entre 60 y 80 puntos: se solicita un plan de mejoramiento en los criterios con baja calificación para que puedan ser invitados a nuevos procesos de contratación. </w:t>
      </w:r>
    </w:p>
    <w:p w14:paraId="7693E80C" w14:textId="77777777" w:rsidR="008F77D6" w:rsidRPr="008F77D6" w:rsidRDefault="008F77D6" w:rsidP="00164509">
      <w:pPr>
        <w:numPr>
          <w:ilvl w:val="0"/>
          <w:numId w:val="138"/>
        </w:numPr>
        <w:pBdr>
          <w:top w:val="nil"/>
          <w:left w:val="nil"/>
          <w:bottom w:val="nil"/>
          <w:right w:val="nil"/>
          <w:between w:val="nil"/>
        </w:pBdr>
        <w:spacing w:line="240" w:lineRule="auto"/>
        <w:jc w:val="both"/>
        <w:rPr>
          <w:rFonts w:ascii="Tahoma" w:eastAsia="Aptos" w:hAnsi="Tahoma" w:cs="Tahoma"/>
          <w:kern w:val="0"/>
          <w:lang w:val="es-ES" w:eastAsia="es-CO"/>
          <w14:ligatures w14:val="none"/>
        </w:rPr>
      </w:pPr>
      <w:r w:rsidRPr="008F77D6">
        <w:rPr>
          <w:rFonts w:ascii="Tahoma" w:eastAsia="Aptos" w:hAnsi="Tahoma" w:cs="Tahoma"/>
          <w:b/>
          <w:color w:val="000000"/>
          <w:kern w:val="0"/>
          <w:lang w:val="es-ES" w:eastAsia="es-CO"/>
          <w14:ligatures w14:val="none"/>
        </w:rPr>
        <w:lastRenderedPageBreak/>
        <w:t xml:space="preserve">Inaceptable: </w:t>
      </w:r>
      <w:r w:rsidRPr="008F77D6">
        <w:rPr>
          <w:rFonts w:ascii="Tahoma" w:eastAsia="Aptos" w:hAnsi="Tahoma" w:cs="Tahoma"/>
          <w:color w:val="000000"/>
          <w:kern w:val="0"/>
          <w:lang w:val="es-ES" w:eastAsia="es-CO"/>
          <w14:ligatures w14:val="none"/>
        </w:rPr>
        <w:t>Menos de</w:t>
      </w:r>
      <w:r w:rsidRPr="008F77D6">
        <w:rPr>
          <w:rFonts w:ascii="Tahoma" w:eastAsia="Aptos" w:hAnsi="Tahoma" w:cs="Tahoma"/>
          <w:b/>
          <w:color w:val="000000"/>
          <w:kern w:val="0"/>
          <w:lang w:val="es-ES" w:eastAsia="es-CO"/>
          <w14:ligatures w14:val="none"/>
        </w:rPr>
        <w:t xml:space="preserve"> </w:t>
      </w:r>
      <w:r w:rsidRPr="008F77D6">
        <w:rPr>
          <w:rFonts w:ascii="Tahoma" w:eastAsia="Aptos" w:hAnsi="Tahoma" w:cs="Tahoma"/>
          <w:color w:val="000000"/>
          <w:kern w:val="0"/>
          <w:lang w:val="es-ES" w:eastAsia="es-CO"/>
          <w14:ligatures w14:val="none"/>
        </w:rPr>
        <w:t>60 puntos: no se les permite participar en procesos de contratación hasta que su calificación mejore.</w:t>
      </w:r>
    </w:p>
    <w:p w14:paraId="233A1982"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Relación con proveedores:</w:t>
      </w:r>
    </w:p>
    <w:p w14:paraId="06F16187"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El </w:t>
      </w:r>
      <w:r w:rsidRPr="008F77D6">
        <w:rPr>
          <w:rFonts w:ascii="Tahoma" w:eastAsia="Aptos" w:hAnsi="Tahoma" w:cs="Tahoma"/>
          <w:kern w:val="0"/>
          <w:u w:val="single"/>
          <w:lang w:val="es-ES" w:eastAsia="es-CO"/>
          <w14:ligatures w14:val="none"/>
        </w:rPr>
        <w:t>Código de Conducta para Proveedores</w:t>
      </w:r>
      <w:r w:rsidRPr="008F77D6">
        <w:rPr>
          <w:rFonts w:ascii="Tahoma" w:eastAsia="Aptos" w:hAnsi="Tahoma" w:cs="Tahoma"/>
          <w:kern w:val="0"/>
          <w:lang w:val="es-ES" w:eastAsia="es-CO"/>
          <w14:ligatures w14:val="none"/>
        </w:rPr>
        <w:t xml:space="preserve"> es el instrumento que media la relación entre TRANSELCA y sus proveedores, ya que establece acuerdos claros en relación con la conducta ética, los cuales están relacionados con los siguientes temas:</w:t>
      </w:r>
    </w:p>
    <w:p w14:paraId="75372E96"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Trabajo forzoso</w:t>
      </w:r>
    </w:p>
    <w:p w14:paraId="610339AF"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Trabajo infantil</w:t>
      </w:r>
    </w:p>
    <w:p w14:paraId="53C8DEE4"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Condiciones de trabajo (por ejemplo, horas de trabajo, exigencias físicas/mentales del lugar de trabajo, salarios, prestaciones)</w:t>
      </w:r>
    </w:p>
    <w:p w14:paraId="5C1BB561"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Salud y seguridad en el trabajo</w:t>
      </w:r>
    </w:p>
    <w:p w14:paraId="2E0A414D"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Discriminación y acoso</w:t>
      </w:r>
    </w:p>
    <w:p w14:paraId="5A77F280"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Libertad de asociación y negociación colectiva</w:t>
      </w:r>
    </w:p>
    <w:p w14:paraId="469EF5EF"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Emisiones de gases de efecto invernadero y consumo de energía</w:t>
      </w:r>
    </w:p>
    <w:p w14:paraId="5B4DBF11"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Prevención de la contaminación y gestión de residuos</w:t>
      </w:r>
    </w:p>
    <w:p w14:paraId="50A7E8EF"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Eficiencia en el uso de los recursos</w:t>
      </w:r>
    </w:p>
    <w:p w14:paraId="549FF908"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Biodiversidad, no deforestación o conservación de la tierra</w:t>
      </w:r>
    </w:p>
    <w:p w14:paraId="18218A71"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Lucha contra la corrupción y los conflictos de intereses</w:t>
      </w:r>
    </w:p>
    <w:p w14:paraId="59C8BF0E" w14:textId="77777777" w:rsidR="008F77D6" w:rsidRPr="008F77D6" w:rsidRDefault="008F77D6" w:rsidP="00164509">
      <w:pPr>
        <w:numPr>
          <w:ilvl w:val="0"/>
          <w:numId w:val="136"/>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Anticompetitividad </w:t>
      </w:r>
    </w:p>
    <w:p w14:paraId="05566A29" w14:textId="77777777" w:rsidR="008F77D6" w:rsidRPr="00163F33" w:rsidRDefault="008F77D6" w:rsidP="008F77D6">
      <w:pPr>
        <w:spacing w:after="0" w:line="240" w:lineRule="auto"/>
        <w:jc w:val="both"/>
        <w:rPr>
          <w:rFonts w:ascii="Tahoma" w:eastAsia="Aptos" w:hAnsi="Tahoma" w:cs="Tahoma"/>
          <w:color w:val="0070C0"/>
          <w:kern w:val="0"/>
          <w:lang w:val="es-ES" w:eastAsia="es-CO"/>
          <w14:ligatures w14:val="none"/>
        </w:rPr>
      </w:pPr>
      <w:r w:rsidRPr="00163F33">
        <w:rPr>
          <w:rFonts w:ascii="Tahoma" w:eastAsia="Aptos" w:hAnsi="Tahoma" w:cs="Tahoma"/>
          <w:b/>
          <w:color w:val="0070C0"/>
          <w:kern w:val="0"/>
          <w:lang w:val="es-ES" w:eastAsia="es-CO"/>
          <w14:ligatures w14:val="none"/>
        </w:rPr>
        <w:t>GRI 403-1</w:t>
      </w:r>
    </w:p>
    <w:p w14:paraId="5F3353DA" w14:textId="77777777" w:rsidR="008F77D6" w:rsidRPr="008F77D6" w:rsidRDefault="008F77D6" w:rsidP="008F77D6">
      <w:pPr>
        <w:spacing w:after="0" w:line="240" w:lineRule="auto"/>
        <w:jc w:val="both"/>
        <w:rPr>
          <w:rFonts w:ascii="Tahoma" w:eastAsia="Aptos" w:hAnsi="Tahoma" w:cs="Tahoma"/>
          <w:b/>
          <w:kern w:val="0"/>
          <w:lang w:val="es-ES" w:eastAsia="es-CO"/>
          <w14:ligatures w14:val="none"/>
        </w:rPr>
      </w:pPr>
    </w:p>
    <w:p w14:paraId="4F24AB6F"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Etapas del proceso</w:t>
      </w:r>
    </w:p>
    <w:p w14:paraId="4CD1A7FA"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Posteriormente lleva a cabo una hoja de ruta que contempla las siguientes etapas: </w:t>
      </w:r>
    </w:p>
    <w:p w14:paraId="2225F5D1" w14:textId="77777777" w:rsidR="008F77D6" w:rsidRPr="008F77D6" w:rsidRDefault="008F77D6" w:rsidP="00164509">
      <w:pPr>
        <w:numPr>
          <w:ilvl w:val="0"/>
          <w:numId w:val="137"/>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Estandarización y segmentación de categorías</w:t>
      </w:r>
    </w:p>
    <w:p w14:paraId="25541E28" w14:textId="77777777" w:rsidR="008F77D6" w:rsidRPr="008F77D6" w:rsidRDefault="008F77D6" w:rsidP="00164509">
      <w:pPr>
        <w:numPr>
          <w:ilvl w:val="0"/>
          <w:numId w:val="137"/>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Plan de compras</w:t>
      </w:r>
    </w:p>
    <w:p w14:paraId="2715A618" w14:textId="77777777" w:rsidR="008F77D6" w:rsidRPr="008F77D6" w:rsidRDefault="008F77D6" w:rsidP="00164509">
      <w:pPr>
        <w:numPr>
          <w:ilvl w:val="0"/>
          <w:numId w:val="137"/>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Gestión de contratos</w:t>
      </w:r>
    </w:p>
    <w:p w14:paraId="0491BE17" w14:textId="77777777" w:rsidR="008F77D6" w:rsidRPr="008F77D6" w:rsidRDefault="008F77D6" w:rsidP="00164509">
      <w:pPr>
        <w:numPr>
          <w:ilvl w:val="0"/>
          <w:numId w:val="137"/>
        </w:num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Evaluaciones periódicas</w:t>
      </w:r>
    </w:p>
    <w:p w14:paraId="663623E3" w14:textId="77777777" w:rsidR="008F77D6" w:rsidRPr="008F77D6" w:rsidRDefault="008F77D6" w:rsidP="008F77D6">
      <w:pPr>
        <w:spacing w:line="240" w:lineRule="auto"/>
        <w:jc w:val="both"/>
        <w:rPr>
          <w:rFonts w:ascii="Tahoma" w:eastAsia="Aptos" w:hAnsi="Tahoma" w:cs="Tahoma"/>
          <w:b/>
          <w:kern w:val="0"/>
          <w:lang w:val="es-ES" w:eastAsia="es-CO"/>
          <w14:ligatures w14:val="none"/>
        </w:rPr>
      </w:pPr>
    </w:p>
    <w:p w14:paraId="460BA9C2"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Evaluación de proveedores</w:t>
      </w:r>
    </w:p>
    <w:p w14:paraId="487C5FB4"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Las evaluaciones a proveedores que realiza TRANSELCA incluyen aspectos sociales, ambientales, de calidad, oportunidad, HSE, ética y prácticas antifraude. Se realizan al finalizar el contrato, cuando su vigencia es inferior a un año y, cuando son en forma repetida y prolongada en el tiempo, anualmente y al finalizar su ejecución. </w:t>
      </w:r>
    </w:p>
    <w:p w14:paraId="66704944"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Cuando su calificación en los aspectos de SST y gestión ambiental sea inferior a 20 puntos se requerirá un plan de mejora. Así la compañía puede conocer qué posibles riesgos enfrenta y sus oportunidades para mejorar.</w:t>
      </w:r>
    </w:p>
    <w:p w14:paraId="7CB79D7A"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Impactos positivos </w:t>
      </w:r>
    </w:p>
    <w:p w14:paraId="2B21411D"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Con la priorización de los proveedores locales y el fortalecimiento de sus capacidades TRANSELCA busca contribuir al desarrollo económico y social de la región. </w:t>
      </w:r>
    </w:p>
    <w:p w14:paraId="35CBCFAD"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Económicos:</w:t>
      </w:r>
    </w:p>
    <w:p w14:paraId="66EAE707"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pago destinado a la proveeduría nacional fortalece las economías locales, con la generación de empleos, pagos de impuestos y demás obligaciones tributarias que se invierten en las regiones correspondientes del país.</w:t>
      </w:r>
    </w:p>
    <w:tbl>
      <w:tblPr>
        <w:tblW w:w="8475" w:type="dxa"/>
        <w:tblLayout w:type="fixed"/>
        <w:tblLook w:val="0400" w:firstRow="0" w:lastRow="0" w:firstColumn="0" w:lastColumn="0" w:noHBand="0" w:noVBand="1"/>
      </w:tblPr>
      <w:tblGrid>
        <w:gridCol w:w="3225"/>
        <w:gridCol w:w="2265"/>
        <w:gridCol w:w="2010"/>
        <w:gridCol w:w="975"/>
      </w:tblGrid>
      <w:tr w:rsidR="008F77D6" w:rsidRPr="008F77D6" w14:paraId="2E6B493D" w14:textId="77777777" w:rsidTr="00822E3C">
        <w:tc>
          <w:tcPr>
            <w:tcW w:w="32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DE6C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Cadena de suministro</w:t>
            </w:r>
          </w:p>
        </w:tc>
        <w:tc>
          <w:tcPr>
            <w:tcW w:w="22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C894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2022</w:t>
            </w:r>
          </w:p>
        </w:tc>
        <w:tc>
          <w:tcPr>
            <w:tcW w:w="2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B998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2023</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E7C8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0D943180" w14:textId="77777777" w:rsidTr="00822E3C">
        <w:tc>
          <w:tcPr>
            <w:tcW w:w="32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583F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total de proveedores implicados en la cadena de suministro</w:t>
            </w:r>
          </w:p>
        </w:tc>
        <w:tc>
          <w:tcPr>
            <w:tcW w:w="22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4C6FD" w14:textId="77777777" w:rsidR="008F77D6" w:rsidRPr="008F77D6" w:rsidRDefault="008F77D6" w:rsidP="00B83A53">
            <w:pPr>
              <w:spacing w:after="0" w:line="240" w:lineRule="auto"/>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195</w:t>
            </w:r>
          </w:p>
        </w:tc>
        <w:tc>
          <w:tcPr>
            <w:tcW w:w="2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52C874" w14:textId="77777777" w:rsidR="008F77D6" w:rsidRPr="008F77D6" w:rsidRDefault="008F77D6" w:rsidP="00B83A53">
            <w:pPr>
              <w:spacing w:after="0" w:line="240" w:lineRule="auto"/>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245</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E0DD3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6B20ADDB" w14:textId="77777777" w:rsidTr="00822E3C">
        <w:tc>
          <w:tcPr>
            <w:tcW w:w="32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3BA1C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Valor estimado de los pagos realizados a los proveedores</w:t>
            </w:r>
          </w:p>
        </w:tc>
        <w:tc>
          <w:tcPr>
            <w:tcW w:w="22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BA9541" w14:textId="77777777" w:rsidR="008F77D6" w:rsidRPr="008F77D6" w:rsidRDefault="008F77D6" w:rsidP="00B83A53">
            <w:pPr>
              <w:spacing w:after="0" w:line="240" w:lineRule="auto"/>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171.993.829.082,38</w:t>
            </w:r>
          </w:p>
        </w:tc>
        <w:tc>
          <w:tcPr>
            <w:tcW w:w="2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CB468" w14:textId="77777777" w:rsidR="008F77D6" w:rsidRPr="008F77D6" w:rsidRDefault="008F77D6" w:rsidP="00B83A53">
            <w:pPr>
              <w:spacing w:after="0" w:line="240" w:lineRule="auto"/>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203.977.369.833,18</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1D2C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5FBA8AEA"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2-6</w:t>
      </w:r>
    </w:p>
    <w:tbl>
      <w:tblPr>
        <w:tblW w:w="8484" w:type="dxa"/>
        <w:tblLayout w:type="fixed"/>
        <w:tblLook w:val="0400" w:firstRow="0" w:lastRow="0" w:firstColumn="0" w:lastColumn="0" w:noHBand="0" w:noVBand="1"/>
      </w:tblPr>
      <w:tblGrid>
        <w:gridCol w:w="7645"/>
        <w:gridCol w:w="839"/>
      </w:tblGrid>
      <w:tr w:rsidR="008F77D6" w:rsidRPr="008F77D6" w14:paraId="7342C33B" w14:textId="77777777" w:rsidTr="00822E3C">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70237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Proporción de gasto en proveedores locales</w:t>
            </w:r>
          </w:p>
        </w:tc>
        <w:tc>
          <w:tcPr>
            <w:tcW w:w="8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DCB72"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63F16D67" w14:textId="77777777" w:rsidTr="00822E3C">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48A12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porcentaje del presupuesto de adquisiciones de ubicaciones con operaciones significativas</w:t>
            </w:r>
          </w:p>
        </w:tc>
        <w:tc>
          <w:tcPr>
            <w:tcW w:w="8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B0C3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5C69221D" w14:textId="77777777" w:rsidTr="00822E3C">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F022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Valor de las compras locales</w:t>
            </w:r>
          </w:p>
        </w:tc>
        <w:tc>
          <w:tcPr>
            <w:tcW w:w="8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3588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4F833A40" w14:textId="77777777" w:rsidTr="00822E3C">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4EAD4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Compras totales</w:t>
            </w:r>
          </w:p>
        </w:tc>
        <w:tc>
          <w:tcPr>
            <w:tcW w:w="8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9F7C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785E827D"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204-1</w:t>
      </w:r>
    </w:p>
    <w:p w14:paraId="5CC0DC0F"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 xml:space="preserve">Nota: </w:t>
      </w:r>
      <w:r w:rsidRPr="008F77D6">
        <w:rPr>
          <w:rFonts w:ascii="Tahoma" w:eastAsia="Aptos" w:hAnsi="Tahoma" w:cs="Tahoma"/>
          <w:kern w:val="0"/>
          <w:lang w:val="es-ES" w:eastAsia="es-CO"/>
          <w14:ligatures w14:val="none"/>
        </w:rPr>
        <w:t xml:space="preserve">las operaciones significativas donde se desarrolló el negocio se ubican en la Costa Atlántica Colombiana, donde TRANSELCA tiene su infraestructura. La definición geográfica de la organización para “local” hace referencia a las operaciones ubicadas en el país. </w:t>
      </w:r>
      <w:r w:rsidRPr="008F77D6">
        <w:rPr>
          <w:rFonts w:ascii="Tahoma" w:eastAsia="Aptos" w:hAnsi="Tahoma" w:cs="Tahoma"/>
          <w:b/>
          <w:kern w:val="0"/>
          <w:lang w:val="es-ES" w:eastAsia="es-CO"/>
          <w14:ligatures w14:val="none"/>
        </w:rPr>
        <w:t>GRI 204-1</w:t>
      </w:r>
    </w:p>
    <w:p w14:paraId="6DC725CE"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Sociales:</w:t>
      </w:r>
    </w:p>
    <w:p w14:paraId="0C02416E" w14:textId="77777777" w:rsidR="008F77D6" w:rsidRPr="008F77D6" w:rsidRDefault="008F77D6" w:rsidP="008F77D6">
      <w:pPr>
        <w:spacing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La evaluación de proveedores en los criterios de calidad, oportunidad, HSE, ética y prácticas antifraude, contribuye a fortalecer las capacidades de las empresas y a asegurar una conducta responsable socialmente, que redunda en el bienestar de las comunidades.</w:t>
      </w:r>
    </w:p>
    <w:tbl>
      <w:tblPr>
        <w:tblW w:w="8483" w:type="dxa"/>
        <w:tblLayout w:type="fixed"/>
        <w:tblLook w:val="0400" w:firstRow="0" w:lastRow="0" w:firstColumn="0" w:lastColumn="0" w:noHBand="0" w:noVBand="1"/>
      </w:tblPr>
      <w:tblGrid>
        <w:gridCol w:w="6344"/>
        <w:gridCol w:w="713"/>
        <w:gridCol w:w="713"/>
        <w:gridCol w:w="713"/>
      </w:tblGrid>
      <w:tr w:rsidR="008F77D6" w:rsidRPr="008F77D6" w14:paraId="792E6F81"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94DA8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901E0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2022</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D844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2023</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279FE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4B62D0BD"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89B1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Promedio de evaluación de proveedores evaluados en calidad, oportunidad, HSE, ética y prácticas antifraude</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E31C3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BE8022"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4698D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50C72E9A"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EED1E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Meta año actual</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8672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B5A1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C842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6EBF8F4C"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3A0A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Meta año siguiente</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466D2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D52B4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A4E03"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45E93804" w14:textId="77777777" w:rsidR="008F77D6" w:rsidRPr="008F77D6" w:rsidRDefault="008F77D6" w:rsidP="008F77D6">
      <w:pPr>
        <w:spacing w:after="0" w:line="240" w:lineRule="auto"/>
        <w:jc w:val="both"/>
        <w:rPr>
          <w:rFonts w:ascii="Tahoma" w:eastAsia="Aptos" w:hAnsi="Tahoma" w:cs="Tahoma"/>
          <w:b/>
          <w:kern w:val="0"/>
          <w:lang w:val="es-ES" w:eastAsia="es-CO"/>
          <w14:ligatures w14:val="none"/>
        </w:rPr>
      </w:pPr>
      <w:r w:rsidRPr="008F77D6">
        <w:rPr>
          <w:rFonts w:ascii="Tahoma" w:eastAsia="Aptos" w:hAnsi="Tahoma" w:cs="Tahoma"/>
          <w:b/>
          <w:kern w:val="0"/>
          <w:lang w:val="es-ES" w:eastAsia="es-CO"/>
          <w14:ligatures w14:val="none"/>
        </w:rPr>
        <w:t>GRI 204-1</w:t>
      </w:r>
    </w:p>
    <w:p w14:paraId="1F16D06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bl>
      <w:tblPr>
        <w:tblW w:w="8483" w:type="dxa"/>
        <w:tblLayout w:type="fixed"/>
        <w:tblLook w:val="0400" w:firstRow="0" w:lastRow="0" w:firstColumn="0" w:lastColumn="0" w:noHBand="0" w:noVBand="1"/>
      </w:tblPr>
      <w:tblGrid>
        <w:gridCol w:w="6344"/>
        <w:gridCol w:w="713"/>
        <w:gridCol w:w="713"/>
        <w:gridCol w:w="713"/>
      </w:tblGrid>
      <w:tr w:rsidR="008F77D6" w:rsidRPr="008F77D6" w14:paraId="55E50E94"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5452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Nuevos proveedores que han pasado filtros de selección de acuerdo con los criterios sociales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79AA5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2022</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819D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2023</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54A90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2617C842"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D193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nuevos proveedores evaluados y seleccionados de acuerdo con los criterios sociales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6D6C9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EB77E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63C8B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45A05436"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A532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nuevos proveedores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0514C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FBCC4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85E23"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44BC65E2"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B655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porcentaje de nuevos proveedores evaluados y seleccionados de acuerdo con los criterios sociales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BD6F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73383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1934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0A9D6D7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414-1</w:t>
      </w:r>
    </w:p>
    <w:p w14:paraId="547C2F7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bl>
      <w:tblPr>
        <w:tblW w:w="8637" w:type="dxa"/>
        <w:tblLayout w:type="fixed"/>
        <w:tblLook w:val="0400" w:firstRow="0" w:lastRow="0" w:firstColumn="0" w:lastColumn="0" w:noHBand="0" w:noVBand="1"/>
      </w:tblPr>
      <w:tblGrid>
        <w:gridCol w:w="7771"/>
        <w:gridCol w:w="866"/>
      </w:tblGrid>
      <w:tr w:rsidR="008F77D6" w:rsidRPr="008F77D6" w14:paraId="5C626C97"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35B08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Impactos sociales negativos en la cadena de suministro y medidas tomadas</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C25C7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2024</w:t>
            </w:r>
          </w:p>
        </w:tc>
      </w:tr>
      <w:tr w:rsidR="008F77D6" w:rsidRPr="008F77D6" w14:paraId="7568AF8F"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ECC68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número de proveedores evaluados en relación con los impactos sociales</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8210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67F3D4EC"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3F7D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número de proveedores identificados como proveedores con impactos sociales negativos significativos potenciales y reales</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896F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70241914"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3C4A1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Los impactos sociales negativos significativos –potenciales y reales– identificados en la cadena de suministro</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3EEF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D910DB5"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304E2"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proveedores identificados como proveedores con impactos sociales negativos significativos –potenciales y reales– con los que se hayan acordado mejoras como consecuencia de una evaluación</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3F2C3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EB882EE"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C7A1A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Proveedores identificados con impactos sociales negativos significativos –potenciales y reales– acuerdos de mejoras como consecuencia de una evaluación</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91A01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6DA6C904"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83B63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proveedores identificados con impactos sociales significativos negativos –potenciales y reales–fin a la relación como consecuencia de la evaluación</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F35F9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53CBE167"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7AA24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Proveedores identificados con impactos sociales significativos negativos –potenciales y reales– fin a la relación como consecuencia de la evaluación</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AF5E93"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D61996A"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93088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Descripción de lo motivos por los que se puso fin a la relación con proveedores identificados con impactos sociales significativos negativos</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BA1FC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7FE90F4C" w14:textId="77777777" w:rsidTr="008B7B9B">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4750F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 xml:space="preserve"> Descripción de las medidas adoptadas en relación con los impactos sociales negativos identificados</w:t>
            </w:r>
          </w:p>
        </w:tc>
        <w:tc>
          <w:tcPr>
            <w:tcW w:w="8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A35A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2AFCC954"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414-2</w:t>
      </w:r>
    </w:p>
    <w:p w14:paraId="3EC4529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p w14:paraId="0CA131B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Ambientales: </w:t>
      </w:r>
    </w:p>
    <w:p w14:paraId="1EFDF30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p w14:paraId="0F62404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La gestión ambiental que TRANSELCA realiza con su cadena de abastecimiento aporta a los objetivos de desarrollo sostenible que impactan las regiones y a nivel global. Incluir en los filtros y las evaluaciones de proveedores, criterios ambientales, favorece la apropiación de políticas y programas orientados a la sostenibilidad por parte de las empresas que hacen parte de su cadena de suministro.</w:t>
      </w:r>
    </w:p>
    <w:p w14:paraId="47495FC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bl>
      <w:tblPr>
        <w:tblW w:w="8483" w:type="dxa"/>
        <w:tblLayout w:type="fixed"/>
        <w:tblLook w:val="0400" w:firstRow="0" w:lastRow="0" w:firstColumn="0" w:lastColumn="0" w:noHBand="0" w:noVBand="1"/>
      </w:tblPr>
      <w:tblGrid>
        <w:gridCol w:w="6344"/>
        <w:gridCol w:w="713"/>
        <w:gridCol w:w="713"/>
        <w:gridCol w:w="713"/>
      </w:tblGrid>
      <w:tr w:rsidR="008F77D6" w:rsidRPr="008F77D6" w14:paraId="4D800D85"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C29A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Nuevos proveedores que han pasado filtros de evaluación y selección de acuerdo con los criterios ambientales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7267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2022</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5B768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2023</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DFD87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69B63992"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37B5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nuevos proveedores evaluados y seleccionados de acuerdo con los criterios ambientales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EE774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339D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D919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2493D821"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CB845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total de nuevos proveedores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0991B"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1E6DB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62BA59"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FB19B54" w14:textId="77777777" w:rsidTr="00822E3C">
        <w:tc>
          <w:tcPr>
            <w:tcW w:w="6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71DC3"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Porcentaje de nuevos proveedores evaluados y seleccionados de acuerdo con los criterios ambientales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DAF63"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5E31D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C07B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1BA0ABC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308-1</w:t>
      </w:r>
    </w:p>
    <w:p w14:paraId="7DEBB07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bl>
      <w:tblPr>
        <w:tblW w:w="8484" w:type="dxa"/>
        <w:tblLayout w:type="fixed"/>
        <w:tblLook w:val="0400" w:firstRow="0" w:lastRow="0" w:firstColumn="0" w:lastColumn="0" w:noHBand="0" w:noVBand="1"/>
      </w:tblPr>
      <w:tblGrid>
        <w:gridCol w:w="7771"/>
        <w:gridCol w:w="713"/>
      </w:tblGrid>
      <w:tr w:rsidR="008F77D6" w:rsidRPr="008F77D6" w14:paraId="2EF99FCE"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E7D2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Impactos ambientales negativos en la cadena de suministro y medidas tomadas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447F7"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2024</w:t>
            </w:r>
          </w:p>
        </w:tc>
      </w:tr>
      <w:tr w:rsidR="008F77D6" w:rsidRPr="008F77D6" w14:paraId="1334EEBB"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469D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número de proveedores evaluados en relación con los impactos ambientales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D4C4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46894C82"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73DB8"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número de proveedores identificados como proveedores con impactos ambientales negativos significativos potenciales y reales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C7A81E"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27BA308C"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48E741"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Los impactos ambientales negativos significativos –potenciales y reales– identificados en la cadena de suministro</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DC5BCA"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C256100"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E52E5F"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Número de proveedores identificados como proveedores con impactos ambientales negativos significativos –potenciales y reales– con los que se hayan acordado mejoras como consecuencia de una evaluación</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0BF3C"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17F68A7F"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70EC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Proveedores identificados con impactos ambientales negativos significativos –potenciales y reales– acuerdos de mejoras como consecuencia de una evaluación</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CD95C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36E84268"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BDB6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lastRenderedPageBreak/>
              <w:t>Número de proveedores identificados como proveedores con impactos ambientales negativos significativos – potenciales y reales – fin a la relación como consecuencia de la evaluación</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CD585"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6C4ADDB6"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869A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Proveedores identificados con impactos ambientales significativos negativos –potenciales y reales – fin a la relación como consecuencia de la evaluación</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8CA7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7413A9AA"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883B6"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Descripción de los motivos por los que se puso fin a la relación con proveedores identificados con impactos ambientales significativos negativos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519025"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r w:rsidR="008F77D6" w:rsidRPr="008F77D6" w14:paraId="4B565673" w14:textId="77777777" w:rsidTr="00822E3C">
        <w:tc>
          <w:tcPr>
            <w:tcW w:w="7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0D0E0"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Descripción de las medidas adoptadas en relación con los impactos ambientales negativos identificados</w:t>
            </w:r>
          </w:p>
        </w:tc>
        <w:tc>
          <w:tcPr>
            <w:tcW w:w="7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39ED6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tc>
      </w:tr>
    </w:tbl>
    <w:p w14:paraId="4A3F4A2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b/>
          <w:kern w:val="0"/>
          <w:lang w:val="es-ES" w:eastAsia="es-CO"/>
          <w14:ligatures w14:val="none"/>
        </w:rPr>
        <w:t>GRI 308-2</w:t>
      </w:r>
    </w:p>
    <w:p w14:paraId="790D765D" w14:textId="77777777" w:rsidR="008F77D6" w:rsidRPr="008F77D6" w:rsidRDefault="008F77D6" w:rsidP="008F77D6">
      <w:pPr>
        <w:spacing w:after="0" w:line="240" w:lineRule="auto"/>
        <w:jc w:val="both"/>
        <w:rPr>
          <w:rFonts w:ascii="Tahoma" w:eastAsia="Aptos" w:hAnsi="Tahoma" w:cs="Tahoma"/>
          <w:kern w:val="0"/>
          <w:lang w:val="es-ES" w:eastAsia="es-CO"/>
          <w14:ligatures w14:val="none"/>
        </w:rPr>
      </w:pPr>
    </w:p>
    <w:p w14:paraId="1482BBB5" w14:textId="77777777" w:rsidR="008F77D6" w:rsidRPr="008F77D6" w:rsidRDefault="008F77D6" w:rsidP="008F77D6">
      <w:pPr>
        <w:rPr>
          <w:rFonts w:ascii="Tahoma" w:eastAsia="Aptos" w:hAnsi="Tahoma" w:cs="Tahoma"/>
          <w:kern w:val="0"/>
          <w:lang w:val="es-ES" w:eastAsia="es-CO"/>
          <w14:ligatures w14:val="none"/>
        </w:rPr>
      </w:pPr>
    </w:p>
    <w:p w14:paraId="7667D436" w14:textId="77777777" w:rsidR="008F77D6" w:rsidRPr="008F77D6" w:rsidRDefault="008F77D6" w:rsidP="008F77D6">
      <w:pPr>
        <w:rPr>
          <w:rFonts w:ascii="Tahoma" w:eastAsia="Aptos" w:hAnsi="Tahoma" w:cs="Tahoma"/>
          <w:kern w:val="0"/>
          <w:lang w:val="es-ES" w:eastAsia="es-CO"/>
          <w14:ligatures w14:val="none"/>
        </w:rPr>
      </w:pPr>
    </w:p>
    <w:p w14:paraId="08450412" w14:textId="77777777" w:rsidR="008F77D6" w:rsidRPr="008F77D6" w:rsidRDefault="008F77D6" w:rsidP="008F77D6">
      <w:pPr>
        <w:spacing w:after="0" w:line="240" w:lineRule="auto"/>
        <w:rPr>
          <w:rFonts w:ascii="Tahoma" w:eastAsia="Aptos" w:hAnsi="Tahoma" w:cs="Tahoma"/>
          <w:b/>
          <w:kern w:val="0"/>
          <w:sz w:val="32"/>
          <w:szCs w:val="32"/>
          <w:lang w:val="es-ES" w:eastAsia="es-CO"/>
          <w14:ligatures w14:val="none"/>
        </w:rPr>
      </w:pPr>
      <w:r w:rsidRPr="008F77D6">
        <w:rPr>
          <w:rFonts w:ascii="Tahoma" w:eastAsia="Aptos" w:hAnsi="Tahoma" w:cs="Tahoma"/>
          <w:b/>
          <w:kern w:val="0"/>
          <w:sz w:val="32"/>
          <w:szCs w:val="32"/>
          <w:lang w:val="es-ES" w:eastAsia="es-CO"/>
          <w14:ligatures w14:val="none"/>
        </w:rPr>
        <w:t>Reconocimientos</w:t>
      </w:r>
    </w:p>
    <w:p w14:paraId="5AB9E1F5" w14:textId="77777777" w:rsidR="008F77D6" w:rsidRPr="008F77D6" w:rsidRDefault="008F77D6" w:rsidP="008F77D6">
      <w:pPr>
        <w:spacing w:after="0" w:line="240" w:lineRule="auto"/>
        <w:rPr>
          <w:rFonts w:ascii="Tahoma" w:eastAsia="Aptos" w:hAnsi="Tahoma" w:cs="Tahoma"/>
          <w:kern w:val="0"/>
          <w:lang w:val="es-ES" w:eastAsia="es-CO"/>
          <w14:ligatures w14:val="none"/>
        </w:rPr>
      </w:pPr>
    </w:p>
    <w:p w14:paraId="281E4F6B" w14:textId="77777777" w:rsidR="008F77D6" w:rsidRPr="008F77D6" w:rsidRDefault="008F77D6" w:rsidP="008F77D6">
      <w:pPr>
        <w:spacing w:after="0" w:line="240" w:lineRule="auto"/>
        <w:rPr>
          <w:rFonts w:ascii="Tahoma" w:eastAsia="Aptos" w:hAnsi="Tahoma" w:cs="Tahoma"/>
          <w:b/>
          <w:kern w:val="0"/>
          <w:lang w:val="es-ES" w:eastAsia="es-CO"/>
          <w14:ligatures w14:val="none"/>
        </w:rPr>
      </w:pPr>
      <w:r w:rsidRPr="008F77D6">
        <w:rPr>
          <w:rFonts w:ascii="Tahoma" w:eastAsia="Aptos" w:hAnsi="Tahoma" w:cs="Tahoma"/>
          <w:b/>
          <w:kern w:val="0"/>
          <w:lang w:val="es-ES" w:eastAsia="es-CO"/>
          <w14:ligatures w14:val="none"/>
        </w:rPr>
        <w:t>Sello Oro Equipares</w:t>
      </w:r>
    </w:p>
    <w:p w14:paraId="2DD9866D" w14:textId="77777777" w:rsidR="008F77D6" w:rsidRPr="008F77D6" w:rsidRDefault="008F77D6" w:rsidP="008F77D6">
      <w:pPr>
        <w:spacing w:after="0" w:line="240" w:lineRule="auto"/>
        <w:rPr>
          <w:rFonts w:ascii="Tahoma" w:eastAsia="Aptos" w:hAnsi="Tahoma" w:cs="Tahoma"/>
          <w:kern w:val="0"/>
          <w:lang w:val="es-ES" w:eastAsia="es-CO"/>
          <w14:ligatures w14:val="none"/>
        </w:rPr>
      </w:pPr>
    </w:p>
    <w:p w14:paraId="0D06D32D"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 xml:space="preserve">Este reconocimiento que recibe TRANSELCA y que la posiciona como la primera empresa en la región en obtener este Sello, es el resultado del compromiso de la organización con el mantenimiento de un entorno de trabajo inclusivo y diverso, en el que se valoran las capacidades y el talento de todas las personas, independientemente de su género. </w:t>
      </w:r>
    </w:p>
    <w:p w14:paraId="59E01513"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p>
    <w:p w14:paraId="04956ECB"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El Sello Oro Equipares fue otorgado el 4 de diciembre de 2024</w:t>
      </w:r>
      <w:r w:rsidRPr="008F77D6">
        <w:rPr>
          <w:rFonts w:ascii="Tahoma" w:eastAsia="Aptos" w:hAnsi="Tahoma" w:cs="Tahoma"/>
          <w:b/>
          <w:kern w:val="0"/>
          <w:lang w:val="es-ES" w:eastAsia="es-CO"/>
          <w14:ligatures w14:val="none"/>
        </w:rPr>
        <w:t xml:space="preserve"> </w:t>
      </w:r>
      <w:r w:rsidRPr="008F77D6">
        <w:rPr>
          <w:rFonts w:ascii="Tahoma" w:eastAsia="Aptos" w:hAnsi="Tahoma" w:cs="Tahoma"/>
          <w:kern w:val="0"/>
          <w:lang w:val="es-ES" w:eastAsia="es-CO"/>
          <w14:ligatures w14:val="none"/>
        </w:rPr>
        <w:t>por el Ministerio del Trabajo, con el apoyo técnico del Programa de las Naciones Unidas para el Desarrollo (PNUD) y la Consejería Presidencial para la Equidad de la Mujer.</w:t>
      </w:r>
    </w:p>
    <w:p w14:paraId="73C82301"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p>
    <w:p w14:paraId="5FF3E595"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Este programa de certificación busca transformar la cultura de las organizaciones para que las mujeres puedan ingresar al mercado laboral en igualdad de condiciones que los hombres.</w:t>
      </w:r>
    </w:p>
    <w:p w14:paraId="2ABB6783"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p>
    <w:p w14:paraId="727ED305"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r w:rsidRPr="008F77D6">
        <w:rPr>
          <w:rFonts w:ascii="Tahoma" w:eastAsia="Aptos" w:hAnsi="Tahoma" w:cs="Tahoma"/>
          <w:kern w:val="0"/>
          <w:lang w:val="es-ES" w:eastAsia="es-CO"/>
          <w14:ligatures w14:val="none"/>
        </w:rPr>
        <w:t>Los requisitos que cumplió TRANSELCA para obtener el sello fueron:</w:t>
      </w:r>
    </w:p>
    <w:p w14:paraId="06725D22" w14:textId="77777777" w:rsidR="008F77D6" w:rsidRPr="008F77D6" w:rsidRDefault="008F77D6" w:rsidP="00B83A53">
      <w:pPr>
        <w:spacing w:after="0" w:line="240" w:lineRule="auto"/>
        <w:jc w:val="both"/>
        <w:rPr>
          <w:rFonts w:ascii="Tahoma" w:eastAsia="Aptos" w:hAnsi="Tahoma" w:cs="Tahoma"/>
          <w:kern w:val="0"/>
          <w:lang w:val="es-ES" w:eastAsia="es-CO"/>
          <w14:ligatures w14:val="none"/>
        </w:rPr>
      </w:pPr>
    </w:p>
    <w:p w14:paraId="6C6B8DA2" w14:textId="77777777" w:rsidR="008F77D6" w:rsidRPr="008F77D6" w:rsidRDefault="008F77D6" w:rsidP="00164509">
      <w:pPr>
        <w:numPr>
          <w:ilvl w:val="0"/>
          <w:numId w:val="139"/>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8F77D6">
        <w:rPr>
          <w:rFonts w:ascii="Tahoma" w:eastAsia="Aptos" w:hAnsi="Tahoma" w:cs="Tahoma"/>
          <w:color w:val="000000"/>
          <w:kern w:val="0"/>
          <w:lang w:val="es-ES" w:eastAsia="es-CO"/>
          <w14:ligatures w14:val="none"/>
        </w:rPr>
        <w:t>Realizar un Diagnóstico Organizacional</w:t>
      </w:r>
    </w:p>
    <w:p w14:paraId="7525671A" w14:textId="77777777" w:rsidR="008F77D6" w:rsidRPr="008F77D6" w:rsidRDefault="008F77D6" w:rsidP="00164509">
      <w:pPr>
        <w:numPr>
          <w:ilvl w:val="0"/>
          <w:numId w:val="139"/>
        </w:numPr>
        <w:pBdr>
          <w:top w:val="nil"/>
          <w:left w:val="nil"/>
          <w:bottom w:val="nil"/>
          <w:right w:val="nil"/>
          <w:between w:val="nil"/>
        </w:pBdr>
        <w:spacing w:after="0" w:line="240" w:lineRule="auto"/>
        <w:jc w:val="both"/>
        <w:rPr>
          <w:rFonts w:ascii="Tahoma" w:eastAsia="Aptos" w:hAnsi="Tahoma" w:cs="Tahoma"/>
          <w:kern w:val="0"/>
          <w:lang w:val="es-ES" w:eastAsia="es-CO"/>
          <w14:ligatures w14:val="none"/>
        </w:rPr>
      </w:pPr>
      <w:r w:rsidRPr="008F77D6">
        <w:rPr>
          <w:rFonts w:ascii="Tahoma" w:eastAsia="Aptos" w:hAnsi="Tahoma" w:cs="Tahoma"/>
          <w:color w:val="000000"/>
          <w:kern w:val="0"/>
          <w:lang w:val="es-ES" w:eastAsia="es-CO"/>
          <w14:ligatures w14:val="none"/>
        </w:rPr>
        <w:t>Elaborar una Política de Equidad Laboral con Enfoque de Género</w:t>
      </w:r>
    </w:p>
    <w:p w14:paraId="36F135D3" w14:textId="77777777" w:rsidR="008F77D6" w:rsidRPr="008F77D6" w:rsidRDefault="008F77D6" w:rsidP="00164509">
      <w:pPr>
        <w:numPr>
          <w:ilvl w:val="0"/>
          <w:numId w:val="139"/>
        </w:numPr>
        <w:pBdr>
          <w:top w:val="nil"/>
          <w:left w:val="nil"/>
          <w:bottom w:val="nil"/>
          <w:right w:val="nil"/>
          <w:between w:val="nil"/>
        </w:pBdr>
        <w:spacing w:after="0" w:line="240" w:lineRule="auto"/>
        <w:jc w:val="both"/>
        <w:rPr>
          <w:rFonts w:ascii="Tahoma" w:eastAsia="Aptos" w:hAnsi="Tahoma" w:cs="Tahoma"/>
          <w:color w:val="000000"/>
          <w:kern w:val="0"/>
          <w:lang w:val="es-ES" w:eastAsia="es-CO"/>
          <w14:ligatures w14:val="none"/>
        </w:rPr>
      </w:pPr>
      <w:r w:rsidRPr="008F77D6">
        <w:rPr>
          <w:rFonts w:ascii="Tahoma" w:eastAsia="Aptos" w:hAnsi="Tahoma" w:cs="Tahoma"/>
          <w:color w:val="000000"/>
          <w:kern w:val="0"/>
          <w:lang w:val="es-ES" w:eastAsia="es-CO"/>
          <w14:ligatures w14:val="none"/>
        </w:rPr>
        <w:t>Implementar un Plan de Acción para cerrar las brechas de género en las 8 dimensiones del programa como son: reclutamiento, promoción, conciliación, capacitación, remuneración, ambiente, prevención del acoso y comunicación.</w:t>
      </w:r>
    </w:p>
    <w:p w14:paraId="5EAAB059" w14:textId="77777777" w:rsidR="008F77D6" w:rsidRPr="008F77D6" w:rsidRDefault="008F77D6" w:rsidP="008F77D6">
      <w:pPr>
        <w:spacing w:after="0" w:line="240" w:lineRule="auto"/>
        <w:rPr>
          <w:rFonts w:ascii="Tahoma" w:eastAsia="Aptos" w:hAnsi="Tahoma" w:cs="Tahoma"/>
          <w:kern w:val="0"/>
          <w:lang w:val="es-ES" w:eastAsia="es-CO"/>
          <w14:ligatures w14:val="none"/>
        </w:rPr>
      </w:pPr>
    </w:p>
    <w:p w14:paraId="732F347A" w14:textId="77777777" w:rsidR="00B0706D" w:rsidRDefault="00B0706D">
      <w:pPr>
        <w:rPr>
          <w:rFonts w:ascii="Calibri" w:hAnsi="Calibri" w:cs="Calibri"/>
          <w:sz w:val="52"/>
          <w:szCs w:val="52"/>
          <w:lang w:val="es-ES"/>
        </w:rPr>
      </w:pPr>
    </w:p>
    <w:p w14:paraId="07EFC2C0" w14:textId="41921698" w:rsidR="0031711E" w:rsidRDefault="00492BD5">
      <w:pPr>
        <w:rPr>
          <w:rFonts w:ascii="Calibri" w:hAnsi="Calibri" w:cs="Calibri"/>
          <w:sz w:val="52"/>
          <w:szCs w:val="52"/>
          <w:lang w:val="es-ES"/>
        </w:rPr>
      </w:pPr>
      <w:bookmarkStart w:id="3" w:name="MARCOETICO"/>
      <w:r>
        <w:rPr>
          <w:rFonts w:ascii="Calibri" w:hAnsi="Calibri" w:cs="Calibri"/>
          <w:noProof/>
          <w:sz w:val="52"/>
          <w:szCs w:val="52"/>
          <w:lang w:val="es-ES"/>
        </w:rPr>
        <w:drawing>
          <wp:inline distT="0" distB="0" distL="0" distR="0" wp14:anchorId="0E07696A" wp14:editId="1C50D8B7">
            <wp:extent cx="5612130" cy="7262495"/>
            <wp:effectExtent l="0" t="0" r="1270" b="1905"/>
            <wp:docPr id="175571837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18373" name="Imagen 175571837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3"/>
    </w:p>
    <w:p w14:paraId="12598A81" w14:textId="77777777" w:rsidR="00C132B9" w:rsidRDefault="00C132B9">
      <w:pPr>
        <w:rPr>
          <w:rFonts w:ascii="Calibri" w:hAnsi="Calibri" w:cs="Calibri"/>
          <w:sz w:val="52"/>
          <w:szCs w:val="52"/>
          <w:lang w:val="es-ES"/>
        </w:rPr>
      </w:pPr>
    </w:p>
    <w:p w14:paraId="5B667A4A" w14:textId="77777777" w:rsidR="00C132B9" w:rsidRPr="00B83A53" w:rsidRDefault="00C132B9" w:rsidP="00C132B9">
      <w:pPr>
        <w:rPr>
          <w:rFonts w:ascii="Tahoma" w:eastAsia="Tahoma" w:hAnsi="Tahoma" w:cs="Tahoma"/>
          <w:b/>
          <w:color w:val="0070C0"/>
          <w:kern w:val="0"/>
          <w:sz w:val="32"/>
          <w:szCs w:val="36"/>
          <w:lang w:val="es-ES" w:eastAsia="es-CO"/>
          <w14:ligatures w14:val="none"/>
        </w:rPr>
      </w:pPr>
      <w:r w:rsidRPr="00B83A53">
        <w:rPr>
          <w:rFonts w:ascii="Tahoma" w:eastAsia="Tahoma" w:hAnsi="Tahoma" w:cs="Tahoma"/>
          <w:b/>
          <w:color w:val="0070C0"/>
          <w:kern w:val="0"/>
          <w:sz w:val="32"/>
          <w:szCs w:val="36"/>
          <w:lang w:val="es-ES" w:eastAsia="es-CO"/>
          <w14:ligatures w14:val="none"/>
        </w:rPr>
        <w:lastRenderedPageBreak/>
        <w:t xml:space="preserve">Políticas para la conducta ética </w:t>
      </w:r>
    </w:p>
    <w:p w14:paraId="056E6066" w14:textId="77777777" w:rsidR="00C132B9" w:rsidRPr="00B83A53" w:rsidRDefault="00C132B9" w:rsidP="00C132B9">
      <w:pPr>
        <w:rPr>
          <w:rFonts w:ascii="Tahoma" w:eastAsia="Tahoma" w:hAnsi="Tahoma" w:cs="Tahoma"/>
          <w:b/>
          <w:color w:val="0070C0"/>
          <w:kern w:val="0"/>
          <w:lang w:val="es-ES" w:eastAsia="es-CO"/>
          <w14:ligatures w14:val="none"/>
        </w:rPr>
      </w:pPr>
      <w:r w:rsidRPr="00B83A53">
        <w:rPr>
          <w:rFonts w:ascii="Tahoma" w:eastAsia="Tahoma" w:hAnsi="Tahoma" w:cs="Tahoma"/>
          <w:b/>
          <w:color w:val="0070C0"/>
          <w:kern w:val="0"/>
          <w:lang w:val="es-ES" w:eastAsia="es-CO"/>
          <w14:ligatures w14:val="none"/>
        </w:rPr>
        <w:t>GRI 2-23 </w:t>
      </w:r>
    </w:p>
    <w:p w14:paraId="7674D1AA"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El comportamiento ético, íntegro y transparente de TRANSELCA se sustenta en los principios consignados en el Código de Ética y Conducta de ISA y sus empresas. A su vez, la empresa cuenta con diferentes instrumentos que dan vida a la política de ética:</w:t>
      </w:r>
    </w:p>
    <w:p w14:paraId="7A9C51D4"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El código de conducta tuvo en 2024 una cobertura en capacitación del 100% para contratistas y proveedores, 90,7% para colaboradores y 100% para miembros de Junta Directiva /Alta Gerencia.</w:t>
      </w:r>
    </w:p>
    <w:p w14:paraId="59FC2195" w14:textId="77777777" w:rsidR="00C132B9" w:rsidRPr="00C132B9" w:rsidRDefault="00C132B9" w:rsidP="00C132B9">
      <w:pPr>
        <w:rPr>
          <w:rFonts w:ascii="Tahoma" w:eastAsia="Tahoma" w:hAnsi="Tahoma" w:cs="Tahoma"/>
          <w:kern w:val="0"/>
          <w:sz w:val="32"/>
          <w:szCs w:val="32"/>
          <w:lang w:val="es-ES" w:eastAsia="es-CO"/>
          <w14:ligatures w14:val="none"/>
        </w:rPr>
      </w:pPr>
      <w:r w:rsidRPr="00C132B9">
        <w:rPr>
          <w:rFonts w:ascii="Tahoma" w:eastAsia="Tahoma" w:hAnsi="Tahoma" w:cs="Tahoma"/>
          <w:b/>
          <w:kern w:val="0"/>
          <w:sz w:val="32"/>
          <w:szCs w:val="32"/>
          <w:lang w:val="es-ES" w:eastAsia="es-CO"/>
          <w14:ligatures w14:val="none"/>
        </w:rPr>
        <w:t>Instrumentos para orientar la conducta ética</w:t>
      </w:r>
    </w:p>
    <w:p w14:paraId="38A13CCD"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Código de ética y conducta. </w:t>
      </w:r>
    </w:p>
    <w:p w14:paraId="1CA65EFD"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Guía Corporativa 47: prevención de lavado activos, financiación del terrorismo y proliferación de armas de destrucción masiva. </w:t>
      </w:r>
    </w:p>
    <w:p w14:paraId="3596D392"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Acuerdo JD 16: Manual para la prevención LAFT PADM. </w:t>
      </w:r>
    </w:p>
    <w:p w14:paraId="763F62B3"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Manual del Sistema de Administración del Riesgo de LAFT PADM TRANSELCA. </w:t>
      </w:r>
    </w:p>
    <w:p w14:paraId="78BA64FC"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Guía Corporativa 53: criterios para la Gestión del Riesgo de Fraude en ISA y sus empresas. </w:t>
      </w:r>
    </w:p>
    <w:p w14:paraId="21C11069"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Código de conducta para proveedores de ISA y sus empresas. </w:t>
      </w:r>
    </w:p>
    <w:p w14:paraId="069F3F2D" w14:textId="77777777" w:rsidR="00C132B9" w:rsidRPr="00C132B9" w:rsidRDefault="00C132B9" w:rsidP="00AC1146">
      <w:pPr>
        <w:numPr>
          <w:ilvl w:val="0"/>
          <w:numId w:val="6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Acción colectiva del sector eléctrico en el cual se construyen y comparten mejores prácticas de transparencia y se gestionan aquellas de competencia desleal.</w:t>
      </w:r>
    </w:p>
    <w:p w14:paraId="26474936" w14:textId="77777777" w:rsidR="00C132B9" w:rsidRPr="00C132B9" w:rsidRDefault="00C132B9" w:rsidP="00AC1146">
      <w:pPr>
        <w:numPr>
          <w:ilvl w:val="0"/>
          <w:numId w:val="68"/>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Seguimiento a través de Power BI por parte del área de Auditoría, de aspectos como conflicto de interés, compromiso con la ética, ejecución de cursos de ética, participación en los encuentros, entre otros.</w:t>
      </w:r>
    </w:p>
    <w:p w14:paraId="17D0685F"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Acciones disciplinarias en caso de violación del código</w:t>
      </w:r>
    </w:p>
    <w:p w14:paraId="3140D07D" w14:textId="77777777" w:rsidR="00C132B9" w:rsidRPr="00C132B9" w:rsidRDefault="00C132B9" w:rsidP="00AC1146">
      <w:pPr>
        <w:numPr>
          <w:ilvl w:val="0"/>
          <w:numId w:val="70"/>
        </w:numPr>
        <w:pBdr>
          <w:top w:val="nil"/>
          <w:left w:val="nil"/>
          <w:bottom w:val="nil"/>
          <w:right w:val="nil"/>
          <w:between w:val="nil"/>
        </w:pBdr>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 xml:space="preserve">Contrato de trabajo, clausura resolutoria de contratos, numeral d: </w:t>
      </w:r>
    </w:p>
    <w:p w14:paraId="1E8B2C4B"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“Por conductas del Contratista violatorias del Código de Ética o del Código Antifraude adoptado por la empresa o cuando se compruebe que el contratista cometió una falta que implica violación de la Declaración de Derechos Humanos, siempre que, en este último caso, medie pronunciamiento en firme de autoridad competente que así lo indique o cuando se compruebe que el contratista, los subcontratistas o sus proveedores, contrataron o hicieron uso de mano de obra </w:t>
      </w:r>
      <w:r w:rsidRPr="00C132B9">
        <w:rPr>
          <w:rFonts w:ascii="Tahoma" w:eastAsia="Tahoma" w:hAnsi="Tahoma" w:cs="Tahoma"/>
          <w:kern w:val="0"/>
          <w:lang w:val="es-ES" w:eastAsia="es-CO"/>
          <w14:ligatures w14:val="none"/>
        </w:rPr>
        <w:lastRenderedPageBreak/>
        <w:t>infantil o trabajo forzado, en la ejecución de cualquier contrato de su responsabilidad.</w:t>
      </w:r>
    </w:p>
    <w:p w14:paraId="5C2F0DC4"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b/>
          <w:kern w:val="0"/>
          <w:lang w:val="es-ES" w:eastAsia="es-CO"/>
          <w14:ligatures w14:val="none"/>
        </w:rPr>
        <w:t>Política de privacidad:</w:t>
      </w:r>
      <w:r w:rsidRPr="00C132B9">
        <w:rPr>
          <w:rFonts w:ascii="Tahoma" w:eastAsia="Tahoma" w:hAnsi="Tahoma" w:cs="Tahoma"/>
          <w:kern w:val="0"/>
          <w:lang w:val="es-ES" w:eastAsia="es-CO"/>
          <w14:ligatures w14:val="none"/>
        </w:rPr>
        <w:t xml:space="preserve"> </w:t>
      </w:r>
    </w:p>
    <w:p w14:paraId="142FEDD9"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Aplica a todas las operaciones y proveedores y se realizan auditorías internas y externas para el cumplimiento. </w:t>
      </w:r>
    </w:p>
    <w:p w14:paraId="0DC468EA"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Los clientes son informados con respecto a: </w:t>
      </w:r>
    </w:p>
    <w:p w14:paraId="42F98CA2" w14:textId="77777777" w:rsidR="00C132B9" w:rsidRPr="00C132B9" w:rsidRDefault="00C132B9" w:rsidP="00AC1146">
      <w:pPr>
        <w:numPr>
          <w:ilvl w:val="0"/>
          <w:numId w:val="69"/>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Naturaleza de la información captada. </w:t>
      </w:r>
    </w:p>
    <w:p w14:paraId="7A950275" w14:textId="77777777" w:rsidR="00C132B9" w:rsidRPr="00C132B9" w:rsidRDefault="00C132B9" w:rsidP="00AC1146">
      <w:pPr>
        <w:numPr>
          <w:ilvl w:val="0"/>
          <w:numId w:val="69"/>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Uso de la información recogida. </w:t>
      </w:r>
    </w:p>
    <w:p w14:paraId="418C3A04" w14:textId="77777777" w:rsidR="00C132B9" w:rsidRPr="00C132B9" w:rsidRDefault="00C132B9" w:rsidP="00AC1146">
      <w:pPr>
        <w:numPr>
          <w:ilvl w:val="0"/>
          <w:numId w:val="69"/>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Posibilidad de que los grupos de interés decidan cómo se recogen, utilizan, conservan y procesan los datos privados. </w:t>
      </w:r>
    </w:p>
    <w:p w14:paraId="3B9A7A81"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b/>
          <w:kern w:val="0"/>
          <w:lang w:val="es-ES" w:eastAsia="es-CO"/>
          <w14:ligatures w14:val="none"/>
        </w:rPr>
        <w:t>¿Cómo se protege la información?</w:t>
      </w:r>
    </w:p>
    <w:p w14:paraId="305A728B" w14:textId="77777777" w:rsidR="00C132B9" w:rsidRPr="00C132B9" w:rsidRDefault="00C132B9" w:rsidP="00AC1146">
      <w:pPr>
        <w:numPr>
          <w:ilvl w:val="0"/>
          <w:numId w:val="73"/>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Política de divulgación a terceros (entidades privadas y públicas). </w:t>
      </w:r>
    </w:p>
    <w:p w14:paraId="18E90382" w14:textId="77777777" w:rsidR="00C132B9" w:rsidRPr="00C132B9" w:rsidRDefault="00C132B9" w:rsidP="00AC1146">
      <w:pPr>
        <w:numPr>
          <w:ilvl w:val="0"/>
          <w:numId w:val="73"/>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Buzón ético. </w:t>
      </w:r>
    </w:p>
    <w:p w14:paraId="3E3850DE" w14:textId="77777777" w:rsidR="00C132B9" w:rsidRPr="00C132B9" w:rsidRDefault="00C132B9" w:rsidP="00AC1146">
      <w:pPr>
        <w:numPr>
          <w:ilvl w:val="0"/>
          <w:numId w:val="73"/>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Línea ética. </w:t>
      </w:r>
    </w:p>
    <w:p w14:paraId="118328CC" w14:textId="77777777" w:rsidR="00C132B9" w:rsidRPr="00C132B9" w:rsidRDefault="00C132B9" w:rsidP="00AC1146">
      <w:pPr>
        <w:numPr>
          <w:ilvl w:val="0"/>
          <w:numId w:val="73"/>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Programas para divulgar el código de ética a trabajadores, contratistas y clientes.</w:t>
      </w:r>
    </w:p>
    <w:p w14:paraId="6FC0CCE8"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b/>
          <w:kern w:val="0"/>
          <w:lang w:val="es-ES" w:eastAsia="es-CO"/>
          <w14:ligatures w14:val="none"/>
        </w:rPr>
        <w:t>Nota:</w:t>
      </w:r>
      <w:r w:rsidRPr="00C132B9">
        <w:rPr>
          <w:rFonts w:ascii="Tahoma" w:eastAsia="Tahoma" w:hAnsi="Tahoma" w:cs="Tahoma"/>
          <w:kern w:val="0"/>
          <w:lang w:val="es-ES" w:eastAsia="es-CO"/>
          <w14:ligatures w14:val="none"/>
        </w:rPr>
        <w:t xml:space="preserve"> En 2024 no se presentaron casos comprobados por mal uso de la información.</w:t>
      </w:r>
    </w:p>
    <w:p w14:paraId="5281E654" w14:textId="77777777" w:rsidR="00C132B9" w:rsidRPr="00C132B9" w:rsidRDefault="00C132B9" w:rsidP="00C132B9">
      <w:pPr>
        <w:rPr>
          <w:rFonts w:ascii="Tahoma" w:eastAsia="Tahoma" w:hAnsi="Tahoma" w:cs="Tahoma"/>
          <w:kern w:val="0"/>
          <w:sz w:val="32"/>
          <w:szCs w:val="32"/>
          <w:lang w:val="es-ES" w:eastAsia="es-CO"/>
          <w14:ligatures w14:val="none"/>
        </w:rPr>
      </w:pPr>
      <w:r w:rsidRPr="00C132B9">
        <w:rPr>
          <w:rFonts w:ascii="Tahoma" w:eastAsia="Tahoma" w:hAnsi="Tahoma" w:cs="Tahoma"/>
          <w:b/>
          <w:kern w:val="0"/>
          <w:sz w:val="32"/>
          <w:szCs w:val="32"/>
          <w:lang w:val="es-ES" w:eastAsia="es-CO"/>
          <w14:ligatures w14:val="none"/>
        </w:rPr>
        <w:t>Principio o enfoque de precaución</w:t>
      </w:r>
    </w:p>
    <w:p w14:paraId="5C6DFCB4"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La primera decisión ética que asegura una operación responsable y sostenible es la aplicabilidad del enfoque de precaución en todos los procesos del negocio para reducir la posibilidad de ocasionar daños graves, previsibles o no previsibles en las personas y/o en el medio ambiente. </w:t>
      </w:r>
    </w:p>
    <w:p w14:paraId="02847D94"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Para el cumplimiento de este requerimiento legal TRANSELCA realiza estudios de riesgos en todas las etapas del ciclo de vida de sus activos para evitar las posibles afectaciones que se puedan presentar en el desarrollo de la operación del negocio. GRI 2-23.a.iii. </w:t>
      </w:r>
    </w:p>
    <w:p w14:paraId="2FD257BB"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Avances en el fortalecimiento de la conducta ética</w:t>
      </w:r>
    </w:p>
    <w:p w14:paraId="337C66EC" w14:textId="77777777" w:rsidR="00C132B9" w:rsidRPr="00C132B9" w:rsidRDefault="00C132B9" w:rsidP="00C132B9">
      <w:pPr>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El comportamiento ético en TRANSELCA se fortalece gracias a las actividades ejecutas en el marco del programa de ética y compliance, entre las que se destacan:</w:t>
      </w:r>
    </w:p>
    <w:p w14:paraId="468528E0" w14:textId="77777777" w:rsidR="00C132B9" w:rsidRPr="00C132B9" w:rsidRDefault="00C132B9" w:rsidP="00AC1146">
      <w:pPr>
        <w:numPr>
          <w:ilvl w:val="0"/>
          <w:numId w:val="74"/>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Retroalimentación</w:t>
      </w:r>
      <w:r w:rsidRPr="00C132B9">
        <w:rPr>
          <w:rFonts w:ascii="Tahoma" w:eastAsia="Tahoma" w:hAnsi="Tahoma" w:cs="Tahoma"/>
          <w:color w:val="FF0000"/>
          <w:kern w:val="0"/>
          <w:lang w:val="es-ES" w:eastAsia="es-CO"/>
          <w14:ligatures w14:val="none"/>
        </w:rPr>
        <w:t xml:space="preserve"> </w:t>
      </w:r>
      <w:r w:rsidRPr="00C132B9">
        <w:rPr>
          <w:rFonts w:ascii="Tahoma" w:eastAsia="Tahoma" w:hAnsi="Tahoma" w:cs="Tahoma"/>
          <w:color w:val="000000"/>
          <w:kern w:val="0"/>
          <w:lang w:val="es-ES" w:eastAsia="es-CO"/>
          <w14:ligatures w14:val="none"/>
        </w:rPr>
        <w:t xml:space="preserve">de las guías y manuales de cumplimiento. </w:t>
      </w:r>
    </w:p>
    <w:p w14:paraId="7D7DFB9A" w14:textId="77777777" w:rsidR="00C132B9" w:rsidRPr="00C132B9" w:rsidRDefault="00C132B9" w:rsidP="00AC1146">
      <w:pPr>
        <w:numPr>
          <w:ilvl w:val="0"/>
          <w:numId w:val="74"/>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lastRenderedPageBreak/>
        <w:t>Divulgación de herramientas como APP de Debida Diligencia y el micrositio de Ética donde se encuentra todo el programa ética y compliance.</w:t>
      </w:r>
    </w:p>
    <w:p w14:paraId="652A482A" w14:textId="77777777" w:rsidR="00C132B9" w:rsidRPr="00C132B9" w:rsidRDefault="00C132B9" w:rsidP="00AC1146">
      <w:pPr>
        <w:numPr>
          <w:ilvl w:val="0"/>
          <w:numId w:val="74"/>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Se realizaron divulgaciones y charlas durante el año con temas como: Línea Ética, inhabilidades e incompatibilidades, manual LAFTFPADM, ética y transparencia, compromiso con la ética, conflicto de interés y obsequios y atenciones.</w:t>
      </w:r>
    </w:p>
    <w:p w14:paraId="221F71D0" w14:textId="77777777" w:rsidR="00C132B9" w:rsidRPr="00C132B9" w:rsidRDefault="00C132B9" w:rsidP="00AC1146">
      <w:pPr>
        <w:numPr>
          <w:ilvl w:val="0"/>
          <w:numId w:val="74"/>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 xml:space="preserve">Se realizaron 34 debidas diligencias desde cumplimiento a solicitud de las diferentes áreas.  </w:t>
      </w:r>
    </w:p>
    <w:p w14:paraId="2B5E0A63" w14:textId="77777777" w:rsidR="00C132B9" w:rsidRPr="00C132B9" w:rsidRDefault="00C132B9" w:rsidP="00AC1146">
      <w:pPr>
        <w:numPr>
          <w:ilvl w:val="0"/>
          <w:numId w:val="74"/>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Se realizaron dos Comités de Ética</w:t>
      </w:r>
    </w:p>
    <w:p w14:paraId="51C138ED" w14:textId="77777777" w:rsidR="00C132B9" w:rsidRPr="00C132B9" w:rsidRDefault="00C132B9" w:rsidP="00AC1146">
      <w:pPr>
        <w:numPr>
          <w:ilvl w:val="0"/>
          <w:numId w:val="74"/>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Declaración anual de conflicto de interés</w:t>
      </w:r>
    </w:p>
    <w:p w14:paraId="7CB1C871"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Resultados:</w:t>
      </w:r>
    </w:p>
    <w:p w14:paraId="4B6389EA"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 xml:space="preserve">Se recibieron 8 casos en la Línea Ética analizados y cerrados al finalizar 2024. </w:t>
      </w:r>
    </w:p>
    <w:p w14:paraId="44AEC161"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b/>
          <w:kern w:val="0"/>
          <w:lang w:val="es-ES" w:eastAsia="es-CO"/>
          <w14:ligatures w14:val="none"/>
        </w:rPr>
        <w:t>Nota:</w:t>
      </w:r>
      <w:r w:rsidRPr="00C132B9">
        <w:rPr>
          <w:rFonts w:ascii="Tahoma" w:eastAsia="Tahoma" w:hAnsi="Tahoma" w:cs="Tahoma"/>
          <w:kern w:val="0"/>
          <w:lang w:val="es-ES" w:eastAsia="es-CO"/>
          <w14:ligatures w14:val="none"/>
        </w:rPr>
        <w:t xml:space="preserve"> Durante el 2024 se presentó una denuncia por acoso laboral y un caso efectivo relacionado con integridad de la información financiera.</w:t>
      </w:r>
    </w:p>
    <w:p w14:paraId="7F3D8B3D"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Se tomaron medidas correspondientes sobre la información entregada de contratitas y subcontratistas para verificar su idoneidad, así mismo se recomendó a los mismos fortalecer sus controles internos prevenir casos de falsedad de documento.</w:t>
      </w:r>
    </w:p>
    <w:p w14:paraId="77139DAA" w14:textId="77777777" w:rsidR="00C132B9" w:rsidRPr="00C132B9" w:rsidRDefault="00C132B9" w:rsidP="00C132B9">
      <w:pPr>
        <w:rPr>
          <w:rFonts w:ascii="Tahoma" w:eastAsia="Tahoma" w:hAnsi="Tahoma" w:cs="Tahoma"/>
          <w:kern w:val="0"/>
          <w:lang w:val="es-ES" w:eastAsia="es-CO"/>
          <w14:ligatures w14:val="none"/>
        </w:rPr>
      </w:pPr>
    </w:p>
    <w:p w14:paraId="4694825C"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Identificación de riesgos</w:t>
      </w:r>
    </w:p>
    <w:p w14:paraId="4A59EA26"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Incumplimiento al Código de Ética y programa de ética y compliance.</w:t>
      </w:r>
    </w:p>
    <w:p w14:paraId="76788EC4"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Avances</w:t>
      </w:r>
    </w:p>
    <w:p w14:paraId="0A09E2AD"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kern w:val="0"/>
          <w:lang w:val="es-ES" w:eastAsia="es-CO"/>
          <w14:ligatures w14:val="none"/>
        </w:rPr>
        <w:t>Se llevaron a cabo dos sesiones del Comité de Ética, además de 34 procesos de debida diligencia atendiendo solicitudes de distintas áreas.</w:t>
      </w:r>
    </w:p>
    <w:p w14:paraId="3849C8DC"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kern w:val="0"/>
          <w:lang w:val="es-ES" w:eastAsia="es-CO"/>
          <w14:ligatures w14:val="none"/>
        </w:rPr>
        <w:t>Se efectuó la actualización de la declaración anual sobre conflicto de interés.</w:t>
      </w:r>
    </w:p>
    <w:p w14:paraId="01AB7ABD"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kern w:val="0"/>
          <w:lang w:val="es-ES" w:eastAsia="es-CO"/>
          <w14:ligatures w14:val="none"/>
        </w:rPr>
        <w:t>Se dictaron cursos virtuales enfocados en la protección de datos personales, principios éticos y prevención del lavado de activos.</w:t>
      </w:r>
    </w:p>
    <w:p w14:paraId="2A905DD5"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kern w:val="0"/>
          <w:lang w:val="es-ES" w:eastAsia="es-CO"/>
          <w14:ligatures w14:val="none"/>
        </w:rPr>
        <w:t>Se analizaron y cerraron ocho reportes recibidos a través de la Línea Ética.</w:t>
      </w:r>
    </w:p>
    <w:p w14:paraId="7F6C7E8F" w14:textId="77777777" w:rsidR="00C132B9" w:rsidRPr="00C132B9" w:rsidRDefault="00C132B9" w:rsidP="00AC1146">
      <w:pPr>
        <w:numPr>
          <w:ilvl w:val="0"/>
          <w:numId w:val="75"/>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kern w:val="0"/>
          <w:lang w:val="es-ES" w:eastAsia="es-CO"/>
          <w14:ligatures w14:val="none"/>
        </w:rPr>
        <w:t xml:space="preserve">Durante el año, se realizaron actividades de divulgación y charlas sobre diversos temas, incluyendo la Línea Ética, inhabilidades e </w:t>
      </w:r>
      <w:r w:rsidRPr="00C132B9">
        <w:rPr>
          <w:rFonts w:ascii="Tahoma" w:eastAsia="Tahoma" w:hAnsi="Tahoma" w:cs="Tahoma"/>
          <w:kern w:val="0"/>
          <w:lang w:val="es-ES" w:eastAsia="es-CO"/>
          <w14:ligatures w14:val="none"/>
        </w:rPr>
        <w:lastRenderedPageBreak/>
        <w:t>incompatibilidades, el manual LAFTFPADM, ética y transparencia, compromiso con los valores éticos, conflicto de interés, así como normativas sobre obsequios y atenciones.</w:t>
      </w:r>
    </w:p>
    <w:p w14:paraId="00401E0D"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Oportunidades</w:t>
      </w:r>
    </w:p>
    <w:p w14:paraId="36CD93FE" w14:textId="77777777" w:rsidR="00C132B9" w:rsidRPr="00C132B9" w:rsidRDefault="00C132B9" w:rsidP="00AC1146">
      <w:pPr>
        <w:numPr>
          <w:ilvl w:val="0"/>
          <w:numId w:val="76"/>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Mayor conocimiento y cumplimiento de los procedimientos relacionados con el programa de ética y compliance.</w:t>
      </w:r>
    </w:p>
    <w:p w14:paraId="07B344C1" w14:textId="77777777" w:rsidR="00C132B9" w:rsidRPr="00C132B9" w:rsidRDefault="00C132B9" w:rsidP="00AC1146">
      <w:pPr>
        <w:numPr>
          <w:ilvl w:val="0"/>
          <w:numId w:val="76"/>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 xml:space="preserve">Maximizar el uso de los diferentes canales y herramientas que tiene la compañía para la gestión de temas de cumplimiento. </w:t>
      </w:r>
    </w:p>
    <w:p w14:paraId="03615AF0" w14:textId="77777777" w:rsidR="00C132B9" w:rsidRPr="00C132B9" w:rsidRDefault="00C132B9" w:rsidP="00AC1146">
      <w:pPr>
        <w:numPr>
          <w:ilvl w:val="0"/>
          <w:numId w:val="76"/>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Los espacios de diálogo para la divulgación e intercambio de conocimientos y experiencias sobre temas de cumplimiento.</w:t>
      </w:r>
    </w:p>
    <w:p w14:paraId="48EA4CDA"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Metas para fortalecer la conducta ética</w:t>
      </w:r>
    </w:p>
    <w:p w14:paraId="5F9332B7" w14:textId="77777777" w:rsidR="00C132B9" w:rsidRPr="00C132B9" w:rsidRDefault="00C132B9" w:rsidP="00AC1146">
      <w:pPr>
        <w:numPr>
          <w:ilvl w:val="0"/>
          <w:numId w:val="77"/>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Generar mayor divulgación del Código de Conducta para proveedores.</w:t>
      </w:r>
    </w:p>
    <w:p w14:paraId="2D0D896C" w14:textId="77777777" w:rsidR="00C132B9" w:rsidRPr="00C132B9" w:rsidRDefault="00C132B9" w:rsidP="00AC1146">
      <w:pPr>
        <w:numPr>
          <w:ilvl w:val="0"/>
          <w:numId w:val="77"/>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Realizar actividades con los diferentes grupos de interés para continuar fortaleciendo los temas éticos.</w:t>
      </w:r>
    </w:p>
    <w:p w14:paraId="7B5DC022" w14:textId="77777777" w:rsidR="00C132B9" w:rsidRPr="00C132B9" w:rsidRDefault="00C132B9" w:rsidP="00AC1146">
      <w:pPr>
        <w:numPr>
          <w:ilvl w:val="0"/>
          <w:numId w:val="77"/>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Realizar actividades con los trabajadores para incrementar la conciencia de estos en temas de ética y transparencia.</w:t>
      </w:r>
    </w:p>
    <w:p w14:paraId="56A0D8A1"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Hitos</w:t>
      </w:r>
    </w:p>
    <w:p w14:paraId="73A37120" w14:textId="77777777" w:rsidR="00C132B9" w:rsidRPr="00C132B9" w:rsidRDefault="00C132B9" w:rsidP="00AC1146">
      <w:pPr>
        <w:numPr>
          <w:ilvl w:val="0"/>
          <w:numId w:val="7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Resultados favorables en las auditorías</w:t>
      </w:r>
    </w:p>
    <w:p w14:paraId="6037D441" w14:textId="77777777" w:rsidR="00C132B9" w:rsidRPr="00C132B9" w:rsidRDefault="00C132B9" w:rsidP="00AC1146">
      <w:pPr>
        <w:numPr>
          <w:ilvl w:val="0"/>
          <w:numId w:val="7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Para el cumplimiento de la Ley 1712 de 2014 relacionada con la transparencia en la información en la página Web.</w:t>
      </w:r>
    </w:p>
    <w:p w14:paraId="58D6B693" w14:textId="77777777" w:rsidR="00C132B9" w:rsidRPr="00C132B9" w:rsidRDefault="00C132B9" w:rsidP="00AC1146">
      <w:pPr>
        <w:numPr>
          <w:ilvl w:val="0"/>
          <w:numId w:val="78"/>
        </w:numPr>
        <w:pBdr>
          <w:top w:val="nil"/>
          <w:left w:val="nil"/>
          <w:bottom w:val="nil"/>
          <w:right w:val="nil"/>
          <w:between w:val="nil"/>
        </w:pBdr>
        <w:spacing w:after="0"/>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Para el Código de buen gobierno que evidenció el cumplimiento de las buenas prácticas de gobierno corporativo.</w:t>
      </w:r>
    </w:p>
    <w:p w14:paraId="402713FF" w14:textId="77777777" w:rsidR="00C132B9" w:rsidRPr="00C132B9" w:rsidRDefault="00C132B9" w:rsidP="00AC1146">
      <w:pPr>
        <w:numPr>
          <w:ilvl w:val="0"/>
          <w:numId w:val="78"/>
        </w:numPr>
        <w:pBdr>
          <w:top w:val="nil"/>
          <w:left w:val="nil"/>
          <w:bottom w:val="nil"/>
          <w:right w:val="nil"/>
          <w:between w:val="nil"/>
        </w:pBdr>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Para la protección de datos personales, validando el cumplimiento de la ley 1581 de 2012.</w:t>
      </w:r>
    </w:p>
    <w:p w14:paraId="3636FB5F"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Nota:</w:t>
      </w:r>
      <w:r w:rsidRPr="00C132B9">
        <w:rPr>
          <w:rFonts w:ascii="Tahoma" w:eastAsia="Tahoma" w:hAnsi="Tahoma" w:cs="Tahoma"/>
          <w:kern w:val="0"/>
          <w:lang w:val="es-ES" w:eastAsia="es-CO"/>
          <w14:ligatures w14:val="none"/>
        </w:rPr>
        <w:t xml:space="preserve"> Durante el 2024 no se generó reporte de operaciones sospechosas</w:t>
      </w:r>
      <w:r w:rsidRPr="00C132B9">
        <w:rPr>
          <w:rFonts w:ascii="Tahoma" w:eastAsia="Tahoma" w:hAnsi="Tahoma" w:cs="Tahoma"/>
          <w:b/>
          <w:kern w:val="0"/>
          <w:lang w:val="es-ES" w:eastAsia="es-CO"/>
          <w14:ligatures w14:val="none"/>
        </w:rPr>
        <w:t>.</w:t>
      </w:r>
    </w:p>
    <w:p w14:paraId="76564E44"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Mecanismos para solicitar asesoramiento y plantear inquietudes</w:t>
      </w:r>
    </w:p>
    <w:p w14:paraId="68056FFA"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TRANSELCA tiene habilitado canales para solicitar información y asesoría de la conducta ética y responsable de la empresa, así como para que los grupos de interés planteen sus inquietudes con respecto a determinadas situaciones referentes a:</w:t>
      </w:r>
    </w:p>
    <w:p w14:paraId="33A5AB9A" w14:textId="77777777" w:rsidR="00C132B9" w:rsidRPr="00C132B9" w:rsidRDefault="00C132B9" w:rsidP="00AC1146">
      <w:pPr>
        <w:numPr>
          <w:ilvl w:val="0"/>
          <w:numId w:val="71"/>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Faltas o incumplimientos al Código de Buen Gobierno, Código de Ética, Manual de Convivencia, obligaciones laborales o cualquier otra situación que se desee informar.</w:t>
      </w:r>
    </w:p>
    <w:p w14:paraId="75B50E5B" w14:textId="77777777" w:rsidR="00C132B9" w:rsidRPr="00C132B9" w:rsidRDefault="00C132B9" w:rsidP="00AC1146">
      <w:pPr>
        <w:numPr>
          <w:ilvl w:val="0"/>
          <w:numId w:val="71"/>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Robo o atentados contra la infraestructura eléctrica.</w:t>
      </w:r>
    </w:p>
    <w:p w14:paraId="3DF4A9FA" w14:textId="77777777" w:rsidR="00C132B9" w:rsidRPr="00C132B9" w:rsidRDefault="00C132B9" w:rsidP="00AC1146">
      <w:pPr>
        <w:numPr>
          <w:ilvl w:val="0"/>
          <w:numId w:val="71"/>
        </w:numPr>
        <w:pBdr>
          <w:top w:val="nil"/>
          <w:left w:val="nil"/>
          <w:bottom w:val="nil"/>
          <w:right w:val="nil"/>
          <w:between w:val="nil"/>
        </w:pBdr>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lastRenderedPageBreak/>
        <w:t>Invasiones, construcciones, siembra de árboles o quemas en la zona de servidumbre.</w:t>
      </w:r>
    </w:p>
    <w:p w14:paraId="6E29AB77" w14:textId="77777777" w:rsidR="00C132B9" w:rsidRPr="00C132B9" w:rsidRDefault="00C132B9" w:rsidP="00C132B9">
      <w:pPr>
        <w:jc w:val="both"/>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Canales de atención:</w:t>
      </w:r>
    </w:p>
    <w:p w14:paraId="4FA3F7A7" w14:textId="77777777" w:rsidR="00C132B9" w:rsidRPr="00C132B9" w:rsidRDefault="00C132B9" w:rsidP="00AC1146">
      <w:pPr>
        <w:numPr>
          <w:ilvl w:val="0"/>
          <w:numId w:val="72"/>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El buzón ético</w:t>
      </w:r>
    </w:p>
    <w:p w14:paraId="6060B26F" w14:textId="77777777" w:rsidR="00C132B9" w:rsidRPr="00C132B9" w:rsidRDefault="00C132B9" w:rsidP="00AC1146">
      <w:pPr>
        <w:numPr>
          <w:ilvl w:val="0"/>
          <w:numId w:val="72"/>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La línea ética gratuita: 01 8000 423661</w:t>
      </w:r>
    </w:p>
    <w:p w14:paraId="78AA3452" w14:textId="77777777" w:rsidR="00C132B9" w:rsidRPr="00C132B9" w:rsidRDefault="00C132B9" w:rsidP="00AC1146">
      <w:pPr>
        <w:numPr>
          <w:ilvl w:val="0"/>
          <w:numId w:val="72"/>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notificaciones@transelca.com</w:t>
      </w:r>
    </w:p>
    <w:p w14:paraId="34A6327D" w14:textId="77777777" w:rsidR="00C132B9" w:rsidRPr="00C132B9" w:rsidRDefault="00C132B9" w:rsidP="00AC1146">
      <w:pPr>
        <w:numPr>
          <w:ilvl w:val="0"/>
          <w:numId w:val="72"/>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pagoservidumbre@intercolombia.com</w:t>
      </w:r>
    </w:p>
    <w:p w14:paraId="66EBB342" w14:textId="77777777" w:rsidR="00C132B9" w:rsidRPr="00C132B9" w:rsidRDefault="00C132B9" w:rsidP="00AC1146">
      <w:pPr>
        <w:numPr>
          <w:ilvl w:val="0"/>
          <w:numId w:val="72"/>
        </w:numPr>
        <w:pBdr>
          <w:top w:val="nil"/>
          <w:left w:val="nil"/>
          <w:bottom w:val="nil"/>
          <w:right w:val="nil"/>
          <w:between w:val="nil"/>
        </w:pBdr>
        <w:spacing w:after="0"/>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Página web de TRANSELCA</w:t>
      </w:r>
    </w:p>
    <w:p w14:paraId="7B48E09C" w14:textId="77777777" w:rsidR="00C132B9" w:rsidRPr="00C132B9" w:rsidRDefault="00C132B9" w:rsidP="00AC1146">
      <w:pPr>
        <w:numPr>
          <w:ilvl w:val="0"/>
          <w:numId w:val="72"/>
        </w:numPr>
        <w:pBdr>
          <w:top w:val="nil"/>
          <w:left w:val="nil"/>
          <w:bottom w:val="nil"/>
          <w:right w:val="nil"/>
          <w:between w:val="nil"/>
        </w:pBdr>
        <w:jc w:val="both"/>
        <w:rPr>
          <w:rFonts w:ascii="Tahoma" w:eastAsia="Tahoma" w:hAnsi="Tahoma" w:cs="Tahoma"/>
          <w:color w:val="000000"/>
          <w:kern w:val="0"/>
          <w:lang w:val="es-ES" w:eastAsia="es-CO"/>
          <w14:ligatures w14:val="none"/>
        </w:rPr>
      </w:pPr>
      <w:r w:rsidRPr="00C132B9">
        <w:rPr>
          <w:rFonts w:ascii="Tahoma" w:eastAsia="Tahoma" w:hAnsi="Tahoma" w:cs="Tahoma"/>
          <w:color w:val="000000"/>
          <w:kern w:val="0"/>
          <w:lang w:val="es-ES" w:eastAsia="es-CO"/>
          <w14:ligatures w14:val="none"/>
        </w:rPr>
        <w:t>Correspondencia por medio físico</w:t>
      </w:r>
    </w:p>
    <w:p w14:paraId="35DDC79E"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Estos canales tienen la posibilidad de presentar de forma anónima la queja o solicitar asesoramiento con respecto a asuntos relacionados con la conducta empresarial. </w:t>
      </w:r>
    </w:p>
    <w:p w14:paraId="183FD77C"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Las comunicaciones recibidas se registran en la plataforma interna de la compañía llamada RYS que funciona como un módulo de recepción de reclamos y sugerencias. </w:t>
      </w:r>
    </w:p>
    <w:p w14:paraId="643A76C7"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Para responder las solicitudes recibidas se especifica el número de radicado con el cual ingresa a TRANSELCA, el tipo de petición, la clase, el término de respuesta y el mecanismo por el cual llega la comunicación.</w:t>
      </w:r>
    </w:p>
    <w:p w14:paraId="31EB9C1E"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La gestión de estas comunicaciones se da según los plazos que estipula la ley (alrededor de los 15 días hábiles siguientes a su recepción, exceptuando casos especiales). </w:t>
      </w:r>
    </w:p>
    <w:p w14:paraId="36D0ECFC"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Mediante un sistema automatizado, la plataforma avisa a la persona del área responsable para que dé respuesta. Al cabo de 7 días el aplicativo envía un recordatorio al responsable del compromiso pendiente.</w:t>
      </w:r>
    </w:p>
    <w:p w14:paraId="08206155"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La Secretaría General es la que administra esta herramienta y hace seguimiento a la gestión de estos asuntos para evitar el vencimiento de las notificaciones recibidas.</w:t>
      </w:r>
    </w:p>
    <w:p w14:paraId="5D42AEED" w14:textId="77777777" w:rsidR="00C132B9" w:rsidRPr="00C132B9" w:rsidRDefault="00C132B9" w:rsidP="00C132B9">
      <w:pPr>
        <w:rPr>
          <w:rFonts w:ascii="Tahoma" w:eastAsia="Tahoma" w:hAnsi="Tahoma" w:cs="Tahoma"/>
          <w:b/>
          <w:kern w:val="0"/>
          <w:lang w:val="es-ES" w:eastAsia="es-CO"/>
          <w14:ligatures w14:val="none"/>
        </w:rPr>
      </w:pPr>
    </w:p>
    <w:p w14:paraId="623DAB03" w14:textId="77777777" w:rsidR="00C132B9" w:rsidRPr="00B83A53" w:rsidRDefault="00C132B9" w:rsidP="00C132B9">
      <w:pPr>
        <w:rPr>
          <w:rFonts w:ascii="Tahoma" w:eastAsia="Tahoma" w:hAnsi="Tahoma" w:cs="Tahoma"/>
          <w:b/>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t>Conflicto de interés</w:t>
      </w:r>
    </w:p>
    <w:p w14:paraId="72D68806"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TRANSELCA regula los conflictos de interés en el artículo 64 de los Estatutos Sociales que dispone:</w:t>
      </w:r>
    </w:p>
    <w:p w14:paraId="2B2D4AA3"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Todas las personas vinculadas a la sociedad deberán actuar con la diligencia y lealtad debida. Los directivos, administradores y empleados de la sociedad se encuentran en una situación de conflicto de interés cuando, debido a sus </w:t>
      </w:r>
      <w:r w:rsidRPr="00C132B9">
        <w:rPr>
          <w:rFonts w:ascii="Tahoma" w:eastAsia="Tahoma" w:hAnsi="Tahoma" w:cs="Tahoma"/>
          <w:kern w:val="0"/>
          <w:lang w:val="es-ES" w:eastAsia="es-CO"/>
          <w14:ligatures w14:val="none"/>
        </w:rPr>
        <w:lastRenderedPageBreak/>
        <w:t>funciones, deban tomar una decisión, o realizar u omitir una acción y se encuentren en la posibilidad de escoger entre el interés de la sociedad y su interés propio o el de un tercero, de manera que de optar por cualquiera de estos dos últimos estaría comprometiendo su objetividad o independencia.</w:t>
      </w:r>
    </w:p>
    <w:p w14:paraId="03951DD2"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Cuando se enfrente un conflicto de interés o se tenga duda sobre su existencia se debe cumplir con el siguiente procedimiento: </w:t>
      </w:r>
    </w:p>
    <w:p w14:paraId="0AA5A329"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a) Informar por escrito del conflicto a su superior jerárquico, con detalles sobre su situación en él, quien designará al empleado que deba continuar con el respectivo proceso. </w:t>
      </w:r>
    </w:p>
    <w:p w14:paraId="0F711345"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 xml:space="preserve">b) Abstenerse de intervenir directa o indirectamente, en las actividades y decisiones que tengan relación con las determinaciones sociales referentes al conflicto, o cesar toda actuación cuando tenga conocimiento de la situación de conflicto de interés. </w:t>
      </w:r>
    </w:p>
    <w:p w14:paraId="7FFCFA74"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Los miembros de Junta Directiva darán a conocer a la Junta Directiva la situación de conflicto de interés. La duda respecto de actos que impliquen conflicto de interés no exime al miembro de Junta Directiva de la obligación de abstenerse de participar en las actividades respectivas.</w:t>
      </w:r>
    </w:p>
    <w:p w14:paraId="272143C8" w14:textId="77777777" w:rsidR="00C132B9" w:rsidRPr="00C132B9" w:rsidRDefault="00C132B9" w:rsidP="00C132B9">
      <w:pPr>
        <w:jc w:val="both"/>
        <w:rPr>
          <w:rFonts w:ascii="Tahoma" w:eastAsia="Tahoma" w:hAnsi="Tahoma" w:cs="Tahoma"/>
          <w:kern w:val="0"/>
          <w:lang w:val="es-ES" w:eastAsia="es-CO"/>
          <w14:ligatures w14:val="none"/>
        </w:rPr>
      </w:pPr>
      <w:r w:rsidRPr="00C132B9">
        <w:rPr>
          <w:rFonts w:ascii="Tahoma" w:eastAsia="Tahoma" w:hAnsi="Tahoma" w:cs="Tahoma"/>
          <w:kern w:val="0"/>
          <w:lang w:val="es-ES" w:eastAsia="es-CO"/>
          <w14:ligatures w14:val="none"/>
        </w:rPr>
        <w:t>La sociedad adoptará un procedimiento definido para la puesta en conocimiento, administración y resolución de conflictos de interés, ya sean directos o indirectos a través de partes vinculadas, esporádicos o permanentes, que puedan afectar a los miembros de la Junta Directiva y demás administradores.</w:t>
      </w:r>
    </w:p>
    <w:p w14:paraId="42320B13" w14:textId="77777777" w:rsidR="00C132B9" w:rsidRPr="00C132B9" w:rsidRDefault="00C132B9" w:rsidP="00B83A53">
      <w:pPr>
        <w:shd w:val="clear" w:color="auto" w:fill="00B0F0"/>
        <w:jc w:val="both"/>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Durante el período reportado no se presentaron conflictos de interés temporales ni permanentes. </w:t>
      </w:r>
    </w:p>
    <w:p w14:paraId="14DFB351" w14:textId="77777777" w:rsidR="00C132B9" w:rsidRPr="00C132B9" w:rsidRDefault="00C132B9" w:rsidP="00C132B9">
      <w:pPr>
        <w:rPr>
          <w:rFonts w:ascii="Tahoma" w:eastAsia="Tahoma" w:hAnsi="Tahoma" w:cs="Tahoma"/>
          <w:b/>
          <w:kern w:val="0"/>
          <w:lang w:val="es-ES" w:eastAsia="es-CO"/>
          <w14:ligatures w14:val="none"/>
        </w:rPr>
      </w:pPr>
    </w:p>
    <w:p w14:paraId="64EEF4FA" w14:textId="77777777" w:rsidR="00C132B9" w:rsidRPr="00C132B9" w:rsidRDefault="00C132B9" w:rsidP="00C132B9">
      <w:pPr>
        <w:rPr>
          <w:rFonts w:ascii="Tahoma" w:eastAsia="Tahoma" w:hAnsi="Tahoma" w:cs="Tahoma"/>
          <w:b/>
          <w:kern w:val="0"/>
          <w:lang w:val="es-ES" w:eastAsia="es-CO"/>
          <w14:ligatures w14:val="none"/>
        </w:rPr>
      </w:pPr>
      <w:r w:rsidRPr="00C132B9">
        <w:rPr>
          <w:rFonts w:ascii="Tahoma" w:eastAsia="Tahoma" w:hAnsi="Tahoma" w:cs="Tahoma"/>
          <w:b/>
          <w:kern w:val="0"/>
          <w:lang w:val="es-ES" w:eastAsia="es-CO"/>
          <w14:ligatures w14:val="none"/>
        </w:rPr>
        <w:t xml:space="preserve">Indicadores GRI asociados a la ética </w:t>
      </w:r>
    </w:p>
    <w:p w14:paraId="3E3910C2" w14:textId="77777777" w:rsidR="00C132B9" w:rsidRPr="00B83A53" w:rsidRDefault="00C132B9" w:rsidP="00C132B9">
      <w:pPr>
        <w:rPr>
          <w:rFonts w:ascii="Tahoma" w:eastAsia="Tahoma" w:hAnsi="Tahoma" w:cs="Tahoma"/>
          <w:b/>
          <w:color w:val="0070C0"/>
          <w:kern w:val="0"/>
          <w:lang w:val="es-ES" w:eastAsia="es-CO"/>
          <w14:ligatures w14:val="none"/>
        </w:rPr>
      </w:pPr>
      <w:r w:rsidRPr="00B83A53">
        <w:rPr>
          <w:rFonts w:ascii="Tahoma" w:eastAsia="Tahoma" w:hAnsi="Tahoma" w:cs="Tahoma"/>
          <w:b/>
          <w:color w:val="0070C0"/>
          <w:kern w:val="0"/>
          <w:lang w:val="es-ES" w:eastAsia="es-CO"/>
          <w14:ligatures w14:val="none"/>
        </w:rPr>
        <w:t>GRI 205-2</w:t>
      </w:r>
    </w:p>
    <w:tbl>
      <w:tblPr>
        <w:tblW w:w="9164" w:type="dxa"/>
        <w:tblLayout w:type="fixed"/>
        <w:tblLook w:val="0400" w:firstRow="0" w:lastRow="0" w:firstColumn="0" w:lastColumn="0" w:noHBand="0" w:noVBand="1"/>
      </w:tblPr>
      <w:tblGrid>
        <w:gridCol w:w="6933"/>
        <w:gridCol w:w="703"/>
        <w:gridCol w:w="764"/>
        <w:gridCol w:w="764"/>
      </w:tblGrid>
      <w:tr w:rsidR="00C132B9" w:rsidRPr="00C132B9" w14:paraId="0D6C9361" w14:textId="77777777" w:rsidTr="00955EFE">
        <w:trPr>
          <w:trHeight w:val="521"/>
        </w:trPr>
        <w:tc>
          <w:tcPr>
            <w:tcW w:w="6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4B892" w14:textId="77777777" w:rsidR="00C132B9" w:rsidRPr="00C132B9" w:rsidRDefault="00C132B9" w:rsidP="00C132B9">
            <w:pPr>
              <w:spacing w:after="0" w:line="240" w:lineRule="auto"/>
              <w:jc w:val="both"/>
              <w:rPr>
                <w:rFonts w:ascii="Tahoma" w:eastAsia="Arial" w:hAnsi="Tahoma" w:cs="Tahoma"/>
                <w:b/>
                <w:kern w:val="0"/>
                <w:sz w:val="20"/>
                <w:szCs w:val="20"/>
                <w:lang w:val="es-ES" w:eastAsia="es-CO"/>
                <w14:ligatures w14:val="none"/>
              </w:rPr>
            </w:pPr>
            <w:r w:rsidRPr="00C132B9">
              <w:rPr>
                <w:rFonts w:ascii="Tahoma" w:eastAsia="Arial" w:hAnsi="Tahoma" w:cs="Tahoma"/>
                <w:b/>
                <w:kern w:val="0"/>
                <w:sz w:val="20"/>
                <w:szCs w:val="20"/>
                <w:lang w:val="es-ES" w:eastAsia="es-CO"/>
                <w14:ligatures w14:val="none"/>
              </w:rPr>
              <w:t>Comunicación y formación sobre políticas y procedimientos anticorrupción</w:t>
            </w:r>
          </w:p>
        </w:tc>
        <w:tc>
          <w:tcPr>
            <w:tcW w:w="703" w:type="dxa"/>
            <w:tcBorders>
              <w:top w:val="single" w:sz="4" w:space="0" w:color="000000"/>
              <w:left w:val="nil"/>
              <w:bottom w:val="single" w:sz="4" w:space="0" w:color="000000"/>
              <w:right w:val="single" w:sz="4" w:space="0" w:color="000000"/>
            </w:tcBorders>
            <w:shd w:val="clear" w:color="auto" w:fill="auto"/>
            <w:vAlign w:val="center"/>
          </w:tcPr>
          <w:p w14:paraId="1D698791" w14:textId="77777777" w:rsidR="00C132B9" w:rsidRPr="00C132B9" w:rsidRDefault="00C132B9" w:rsidP="00C132B9">
            <w:pPr>
              <w:spacing w:after="0" w:line="240" w:lineRule="auto"/>
              <w:jc w:val="center"/>
              <w:rPr>
                <w:rFonts w:ascii="Tahoma" w:eastAsia="Arial" w:hAnsi="Tahoma" w:cs="Tahoma"/>
                <w:b/>
                <w:kern w:val="0"/>
                <w:sz w:val="20"/>
                <w:szCs w:val="20"/>
                <w:lang w:val="es-ES" w:eastAsia="es-CO"/>
                <w14:ligatures w14:val="none"/>
              </w:rPr>
            </w:pPr>
            <w:r w:rsidRPr="00C132B9">
              <w:rPr>
                <w:rFonts w:ascii="Tahoma" w:eastAsia="Arial" w:hAnsi="Tahoma" w:cs="Tahoma"/>
                <w:b/>
                <w:kern w:val="0"/>
                <w:sz w:val="20"/>
                <w:szCs w:val="20"/>
                <w:lang w:val="es-ES" w:eastAsia="es-CO"/>
                <w14:ligatures w14:val="none"/>
              </w:rPr>
              <w:t>2022</w:t>
            </w:r>
          </w:p>
        </w:tc>
        <w:tc>
          <w:tcPr>
            <w:tcW w:w="764" w:type="dxa"/>
            <w:tcBorders>
              <w:top w:val="single" w:sz="4" w:space="0" w:color="000000"/>
              <w:left w:val="nil"/>
              <w:bottom w:val="single" w:sz="4" w:space="0" w:color="000000"/>
              <w:right w:val="single" w:sz="4" w:space="0" w:color="000000"/>
            </w:tcBorders>
            <w:shd w:val="clear" w:color="auto" w:fill="auto"/>
            <w:vAlign w:val="center"/>
          </w:tcPr>
          <w:p w14:paraId="748286EF" w14:textId="77777777" w:rsidR="00C132B9" w:rsidRPr="00C132B9" w:rsidRDefault="00C132B9" w:rsidP="00C132B9">
            <w:pPr>
              <w:spacing w:after="0" w:line="240" w:lineRule="auto"/>
              <w:jc w:val="center"/>
              <w:rPr>
                <w:rFonts w:ascii="Tahoma" w:eastAsia="Arial" w:hAnsi="Tahoma" w:cs="Tahoma"/>
                <w:b/>
                <w:kern w:val="0"/>
                <w:sz w:val="20"/>
                <w:szCs w:val="20"/>
                <w:lang w:val="es-ES" w:eastAsia="es-CO"/>
                <w14:ligatures w14:val="none"/>
              </w:rPr>
            </w:pPr>
            <w:r w:rsidRPr="00C132B9">
              <w:rPr>
                <w:rFonts w:ascii="Tahoma" w:eastAsia="Arial" w:hAnsi="Tahoma" w:cs="Tahoma"/>
                <w:b/>
                <w:kern w:val="0"/>
                <w:sz w:val="20"/>
                <w:szCs w:val="20"/>
                <w:lang w:val="es-ES" w:eastAsia="es-CO"/>
                <w14:ligatures w14:val="none"/>
              </w:rPr>
              <w:t>2023</w:t>
            </w:r>
          </w:p>
        </w:tc>
        <w:tc>
          <w:tcPr>
            <w:tcW w:w="764" w:type="dxa"/>
            <w:tcBorders>
              <w:top w:val="single" w:sz="4" w:space="0" w:color="000000"/>
              <w:left w:val="nil"/>
              <w:bottom w:val="single" w:sz="4" w:space="0" w:color="000000"/>
              <w:right w:val="single" w:sz="4" w:space="0" w:color="000000"/>
            </w:tcBorders>
            <w:shd w:val="clear" w:color="auto" w:fill="auto"/>
            <w:vAlign w:val="center"/>
          </w:tcPr>
          <w:p w14:paraId="4E7F870B" w14:textId="77777777" w:rsidR="00C132B9" w:rsidRPr="00C132B9" w:rsidRDefault="00C132B9" w:rsidP="00C132B9">
            <w:pPr>
              <w:spacing w:after="0" w:line="240" w:lineRule="auto"/>
              <w:jc w:val="center"/>
              <w:rPr>
                <w:rFonts w:ascii="Tahoma" w:eastAsia="Arial" w:hAnsi="Tahoma" w:cs="Tahoma"/>
                <w:b/>
                <w:kern w:val="0"/>
                <w:sz w:val="20"/>
                <w:szCs w:val="20"/>
                <w:lang w:val="es-ES" w:eastAsia="es-CO"/>
                <w14:ligatures w14:val="none"/>
              </w:rPr>
            </w:pPr>
            <w:r w:rsidRPr="00C132B9">
              <w:rPr>
                <w:rFonts w:ascii="Tahoma" w:eastAsia="Arial" w:hAnsi="Tahoma" w:cs="Tahoma"/>
                <w:b/>
                <w:kern w:val="0"/>
                <w:sz w:val="20"/>
                <w:szCs w:val="20"/>
                <w:lang w:val="es-ES" w:eastAsia="es-CO"/>
                <w14:ligatures w14:val="none"/>
              </w:rPr>
              <w:t>2024</w:t>
            </w:r>
          </w:p>
        </w:tc>
      </w:tr>
      <w:tr w:rsidR="00C132B9" w:rsidRPr="00C132B9" w14:paraId="71CB7074" w14:textId="77777777" w:rsidTr="00955EFE">
        <w:trPr>
          <w:trHeight w:val="291"/>
        </w:trPr>
        <w:tc>
          <w:tcPr>
            <w:tcW w:w="6934" w:type="dxa"/>
            <w:tcBorders>
              <w:top w:val="nil"/>
              <w:left w:val="single" w:sz="4" w:space="0" w:color="000000"/>
              <w:bottom w:val="single" w:sz="4" w:space="0" w:color="000000"/>
              <w:right w:val="single" w:sz="4" w:space="0" w:color="000000"/>
            </w:tcBorders>
            <w:shd w:val="clear" w:color="auto" w:fill="auto"/>
            <w:vAlign w:val="center"/>
          </w:tcPr>
          <w:p w14:paraId="195EB6AC"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miembros del órgano de gobierno</w:t>
            </w:r>
          </w:p>
        </w:tc>
        <w:tc>
          <w:tcPr>
            <w:tcW w:w="703" w:type="dxa"/>
            <w:tcBorders>
              <w:top w:val="nil"/>
              <w:left w:val="nil"/>
              <w:bottom w:val="single" w:sz="4" w:space="0" w:color="000000"/>
              <w:right w:val="single" w:sz="4" w:space="0" w:color="000000"/>
            </w:tcBorders>
            <w:shd w:val="clear" w:color="auto" w:fill="auto"/>
            <w:vAlign w:val="center"/>
          </w:tcPr>
          <w:p w14:paraId="6192B46E"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5420D8E5"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0B2DA97A"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r>
      <w:tr w:rsidR="00C132B9" w:rsidRPr="00C132B9" w14:paraId="472B5196" w14:textId="77777777" w:rsidTr="00955EFE">
        <w:trPr>
          <w:trHeight w:val="873"/>
        </w:trPr>
        <w:tc>
          <w:tcPr>
            <w:tcW w:w="6934" w:type="dxa"/>
            <w:tcBorders>
              <w:top w:val="nil"/>
              <w:left w:val="single" w:sz="4" w:space="0" w:color="000000"/>
              <w:bottom w:val="single" w:sz="4" w:space="0" w:color="000000"/>
              <w:right w:val="single" w:sz="4" w:space="0" w:color="000000"/>
            </w:tcBorders>
            <w:shd w:val="clear" w:color="auto" w:fill="auto"/>
            <w:vAlign w:val="center"/>
          </w:tcPr>
          <w:p w14:paraId="24A608C1"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miembros del órgano de gobierno a quienes se haya comunicado las políticas y procedimientos anticorrupción de la empresa</w:t>
            </w:r>
          </w:p>
        </w:tc>
        <w:tc>
          <w:tcPr>
            <w:tcW w:w="703" w:type="dxa"/>
            <w:tcBorders>
              <w:top w:val="nil"/>
              <w:left w:val="nil"/>
              <w:bottom w:val="single" w:sz="4" w:space="0" w:color="000000"/>
              <w:right w:val="single" w:sz="4" w:space="0" w:color="000000"/>
            </w:tcBorders>
            <w:shd w:val="clear" w:color="auto" w:fill="auto"/>
            <w:vAlign w:val="center"/>
          </w:tcPr>
          <w:p w14:paraId="10AA9C46"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7C39D9D4"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5266A741"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r>
      <w:tr w:rsidR="00C132B9" w:rsidRPr="00C132B9" w14:paraId="44BE8C80" w14:textId="77777777" w:rsidTr="00955EFE">
        <w:trPr>
          <w:trHeight w:val="873"/>
        </w:trPr>
        <w:tc>
          <w:tcPr>
            <w:tcW w:w="6934" w:type="dxa"/>
            <w:tcBorders>
              <w:top w:val="nil"/>
              <w:left w:val="single" w:sz="4" w:space="0" w:color="000000"/>
              <w:bottom w:val="single" w:sz="4" w:space="0" w:color="000000"/>
              <w:right w:val="single" w:sz="4" w:space="0" w:color="000000"/>
            </w:tcBorders>
            <w:shd w:val="clear" w:color="auto" w:fill="auto"/>
            <w:vAlign w:val="center"/>
          </w:tcPr>
          <w:p w14:paraId="63E5D3B0"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miembros del órgano de gobierno a quienes se haya comunicado las políticas y procedimientos anticorrupción de la empresa</w:t>
            </w:r>
          </w:p>
        </w:tc>
        <w:tc>
          <w:tcPr>
            <w:tcW w:w="703" w:type="dxa"/>
            <w:tcBorders>
              <w:top w:val="nil"/>
              <w:left w:val="nil"/>
              <w:bottom w:val="single" w:sz="4" w:space="0" w:color="000000"/>
              <w:right w:val="single" w:sz="4" w:space="0" w:color="000000"/>
            </w:tcBorders>
            <w:shd w:val="clear" w:color="auto" w:fill="auto"/>
            <w:vAlign w:val="center"/>
          </w:tcPr>
          <w:p w14:paraId="02F6EBD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64" w:type="dxa"/>
            <w:tcBorders>
              <w:top w:val="nil"/>
              <w:left w:val="nil"/>
              <w:bottom w:val="single" w:sz="4" w:space="0" w:color="000000"/>
              <w:right w:val="single" w:sz="4" w:space="0" w:color="000000"/>
            </w:tcBorders>
            <w:shd w:val="clear" w:color="auto" w:fill="auto"/>
            <w:vAlign w:val="center"/>
          </w:tcPr>
          <w:p w14:paraId="55C370D3"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64" w:type="dxa"/>
            <w:tcBorders>
              <w:top w:val="nil"/>
              <w:left w:val="nil"/>
              <w:bottom w:val="single" w:sz="4" w:space="0" w:color="000000"/>
              <w:right w:val="single" w:sz="4" w:space="0" w:color="000000"/>
            </w:tcBorders>
            <w:shd w:val="clear" w:color="auto" w:fill="auto"/>
            <w:vAlign w:val="center"/>
          </w:tcPr>
          <w:p w14:paraId="45CC2BF1"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r>
      <w:tr w:rsidR="00C132B9" w:rsidRPr="00C132B9" w14:paraId="3F7C1FEF" w14:textId="77777777" w:rsidTr="00955EFE">
        <w:trPr>
          <w:trHeight w:val="291"/>
        </w:trPr>
        <w:tc>
          <w:tcPr>
            <w:tcW w:w="6934" w:type="dxa"/>
            <w:tcBorders>
              <w:top w:val="nil"/>
              <w:left w:val="single" w:sz="4" w:space="0" w:color="000000"/>
              <w:bottom w:val="single" w:sz="4" w:space="0" w:color="000000"/>
              <w:right w:val="single" w:sz="4" w:space="0" w:color="000000"/>
            </w:tcBorders>
            <w:shd w:val="clear" w:color="auto" w:fill="auto"/>
            <w:vAlign w:val="center"/>
          </w:tcPr>
          <w:p w14:paraId="5D20DD12"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total de empleados</w:t>
            </w:r>
          </w:p>
        </w:tc>
        <w:tc>
          <w:tcPr>
            <w:tcW w:w="703" w:type="dxa"/>
            <w:tcBorders>
              <w:top w:val="nil"/>
              <w:left w:val="nil"/>
              <w:bottom w:val="single" w:sz="4" w:space="0" w:color="000000"/>
              <w:right w:val="single" w:sz="4" w:space="0" w:color="000000"/>
            </w:tcBorders>
            <w:shd w:val="clear" w:color="auto" w:fill="auto"/>
            <w:vAlign w:val="center"/>
          </w:tcPr>
          <w:p w14:paraId="50CDDBD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203</w:t>
            </w:r>
          </w:p>
        </w:tc>
        <w:tc>
          <w:tcPr>
            <w:tcW w:w="764" w:type="dxa"/>
            <w:tcBorders>
              <w:top w:val="nil"/>
              <w:left w:val="nil"/>
              <w:bottom w:val="single" w:sz="4" w:space="0" w:color="000000"/>
              <w:right w:val="single" w:sz="4" w:space="0" w:color="000000"/>
            </w:tcBorders>
            <w:shd w:val="clear" w:color="auto" w:fill="auto"/>
            <w:vAlign w:val="center"/>
          </w:tcPr>
          <w:p w14:paraId="0476F0CB"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208</w:t>
            </w:r>
          </w:p>
        </w:tc>
        <w:tc>
          <w:tcPr>
            <w:tcW w:w="764" w:type="dxa"/>
            <w:tcBorders>
              <w:top w:val="nil"/>
              <w:left w:val="nil"/>
              <w:bottom w:val="single" w:sz="4" w:space="0" w:color="000000"/>
              <w:right w:val="single" w:sz="4" w:space="0" w:color="000000"/>
            </w:tcBorders>
            <w:shd w:val="clear" w:color="auto" w:fill="auto"/>
            <w:vAlign w:val="center"/>
          </w:tcPr>
          <w:p w14:paraId="620045A1"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218</w:t>
            </w:r>
          </w:p>
        </w:tc>
      </w:tr>
      <w:tr w:rsidR="00C132B9" w:rsidRPr="00C132B9" w14:paraId="0876010C" w14:textId="77777777" w:rsidTr="00955EFE">
        <w:trPr>
          <w:trHeight w:val="873"/>
        </w:trPr>
        <w:tc>
          <w:tcPr>
            <w:tcW w:w="6934" w:type="dxa"/>
            <w:tcBorders>
              <w:top w:val="nil"/>
              <w:left w:val="single" w:sz="4" w:space="0" w:color="000000"/>
              <w:bottom w:val="single" w:sz="4" w:space="0" w:color="000000"/>
              <w:right w:val="single" w:sz="4" w:space="0" w:color="000000"/>
            </w:tcBorders>
            <w:shd w:val="clear" w:color="auto" w:fill="auto"/>
            <w:vAlign w:val="center"/>
          </w:tcPr>
          <w:p w14:paraId="17E1E3A0"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lastRenderedPageBreak/>
              <w:t>Número de empleados a quienes se haya comunicado las políticas y procedimientos anticorrupción de la empresa</w:t>
            </w:r>
          </w:p>
        </w:tc>
        <w:tc>
          <w:tcPr>
            <w:tcW w:w="703" w:type="dxa"/>
            <w:tcBorders>
              <w:top w:val="nil"/>
              <w:left w:val="nil"/>
              <w:bottom w:val="single" w:sz="4" w:space="0" w:color="000000"/>
              <w:right w:val="single" w:sz="4" w:space="0" w:color="000000"/>
            </w:tcBorders>
            <w:shd w:val="clear" w:color="auto" w:fill="auto"/>
            <w:vAlign w:val="center"/>
          </w:tcPr>
          <w:p w14:paraId="4FE635C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197</w:t>
            </w:r>
          </w:p>
        </w:tc>
        <w:tc>
          <w:tcPr>
            <w:tcW w:w="764" w:type="dxa"/>
            <w:tcBorders>
              <w:top w:val="nil"/>
              <w:left w:val="nil"/>
              <w:bottom w:val="single" w:sz="4" w:space="0" w:color="000000"/>
              <w:right w:val="single" w:sz="4" w:space="0" w:color="000000"/>
            </w:tcBorders>
            <w:shd w:val="clear" w:color="auto" w:fill="auto"/>
            <w:vAlign w:val="center"/>
          </w:tcPr>
          <w:p w14:paraId="4DA93C00"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196</w:t>
            </w:r>
          </w:p>
        </w:tc>
        <w:tc>
          <w:tcPr>
            <w:tcW w:w="764" w:type="dxa"/>
            <w:tcBorders>
              <w:top w:val="nil"/>
              <w:left w:val="nil"/>
              <w:bottom w:val="single" w:sz="4" w:space="0" w:color="000000"/>
              <w:right w:val="single" w:sz="4" w:space="0" w:color="000000"/>
            </w:tcBorders>
            <w:shd w:val="clear" w:color="auto" w:fill="auto"/>
            <w:vAlign w:val="center"/>
          </w:tcPr>
          <w:p w14:paraId="706FB4B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192</w:t>
            </w:r>
          </w:p>
        </w:tc>
      </w:tr>
      <w:tr w:rsidR="00C132B9" w:rsidRPr="00C132B9" w14:paraId="0DEE205A" w14:textId="77777777" w:rsidTr="00955EFE">
        <w:trPr>
          <w:trHeight w:val="873"/>
        </w:trPr>
        <w:tc>
          <w:tcPr>
            <w:tcW w:w="6934" w:type="dxa"/>
            <w:tcBorders>
              <w:top w:val="nil"/>
              <w:left w:val="single" w:sz="4" w:space="0" w:color="000000"/>
              <w:bottom w:val="single" w:sz="4" w:space="0" w:color="000000"/>
              <w:right w:val="single" w:sz="4" w:space="0" w:color="000000"/>
            </w:tcBorders>
            <w:shd w:val="clear" w:color="auto" w:fill="auto"/>
            <w:vAlign w:val="center"/>
          </w:tcPr>
          <w:p w14:paraId="3212CE00"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empleados a quienes se haya comunicado las políticas y procedimientos anticorrupción de la empresa</w:t>
            </w:r>
          </w:p>
        </w:tc>
        <w:tc>
          <w:tcPr>
            <w:tcW w:w="703" w:type="dxa"/>
            <w:tcBorders>
              <w:top w:val="nil"/>
              <w:left w:val="nil"/>
              <w:bottom w:val="single" w:sz="4" w:space="0" w:color="000000"/>
              <w:right w:val="single" w:sz="4" w:space="0" w:color="000000"/>
            </w:tcBorders>
            <w:shd w:val="clear" w:color="auto" w:fill="auto"/>
            <w:vAlign w:val="center"/>
          </w:tcPr>
          <w:p w14:paraId="1675A906"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97%</w:t>
            </w:r>
          </w:p>
        </w:tc>
        <w:tc>
          <w:tcPr>
            <w:tcW w:w="764" w:type="dxa"/>
            <w:tcBorders>
              <w:top w:val="nil"/>
              <w:left w:val="nil"/>
              <w:bottom w:val="single" w:sz="4" w:space="0" w:color="000000"/>
              <w:right w:val="single" w:sz="4" w:space="0" w:color="000000"/>
            </w:tcBorders>
            <w:shd w:val="clear" w:color="auto" w:fill="auto"/>
            <w:vAlign w:val="center"/>
          </w:tcPr>
          <w:p w14:paraId="3AE2088C"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94,2%</w:t>
            </w:r>
          </w:p>
        </w:tc>
        <w:tc>
          <w:tcPr>
            <w:tcW w:w="764" w:type="dxa"/>
            <w:tcBorders>
              <w:top w:val="nil"/>
              <w:left w:val="nil"/>
              <w:bottom w:val="single" w:sz="4" w:space="0" w:color="000000"/>
              <w:right w:val="single" w:sz="4" w:space="0" w:color="000000"/>
            </w:tcBorders>
            <w:shd w:val="clear" w:color="auto" w:fill="auto"/>
            <w:vAlign w:val="center"/>
          </w:tcPr>
          <w:p w14:paraId="0C6EB3A3"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88,1%</w:t>
            </w:r>
          </w:p>
        </w:tc>
      </w:tr>
      <w:tr w:rsidR="00C132B9" w:rsidRPr="00C132B9" w14:paraId="5C251309" w14:textId="77777777" w:rsidTr="00955EFE">
        <w:trPr>
          <w:trHeight w:val="582"/>
        </w:trPr>
        <w:tc>
          <w:tcPr>
            <w:tcW w:w="6934" w:type="dxa"/>
            <w:tcBorders>
              <w:top w:val="nil"/>
              <w:left w:val="single" w:sz="4" w:space="0" w:color="000000"/>
              <w:bottom w:val="single" w:sz="4" w:space="0" w:color="000000"/>
              <w:right w:val="single" w:sz="4" w:space="0" w:color="000000"/>
            </w:tcBorders>
            <w:shd w:val="clear" w:color="auto" w:fill="auto"/>
            <w:vAlign w:val="center"/>
          </w:tcPr>
          <w:p w14:paraId="035BCFA7"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miembros del órgano de gobierno que haya recibido formación sobre anticorrupción</w:t>
            </w:r>
          </w:p>
        </w:tc>
        <w:tc>
          <w:tcPr>
            <w:tcW w:w="703" w:type="dxa"/>
            <w:tcBorders>
              <w:top w:val="nil"/>
              <w:left w:val="nil"/>
              <w:bottom w:val="single" w:sz="4" w:space="0" w:color="000000"/>
              <w:right w:val="single" w:sz="4" w:space="0" w:color="000000"/>
            </w:tcBorders>
            <w:shd w:val="clear" w:color="auto" w:fill="auto"/>
            <w:vAlign w:val="center"/>
          </w:tcPr>
          <w:p w14:paraId="7439DA8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6A82962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c>
          <w:tcPr>
            <w:tcW w:w="764" w:type="dxa"/>
            <w:tcBorders>
              <w:top w:val="nil"/>
              <w:left w:val="nil"/>
              <w:bottom w:val="single" w:sz="4" w:space="0" w:color="000000"/>
              <w:right w:val="single" w:sz="4" w:space="0" w:color="000000"/>
            </w:tcBorders>
            <w:shd w:val="clear" w:color="auto" w:fill="auto"/>
            <w:vAlign w:val="center"/>
          </w:tcPr>
          <w:p w14:paraId="2EC87B0B"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12</w:t>
            </w:r>
          </w:p>
        </w:tc>
      </w:tr>
      <w:tr w:rsidR="00C132B9" w:rsidRPr="00C132B9" w14:paraId="397162B4" w14:textId="77777777" w:rsidTr="00955EFE">
        <w:trPr>
          <w:trHeight w:val="582"/>
        </w:trPr>
        <w:tc>
          <w:tcPr>
            <w:tcW w:w="6934" w:type="dxa"/>
            <w:tcBorders>
              <w:top w:val="nil"/>
              <w:left w:val="single" w:sz="4" w:space="0" w:color="000000"/>
              <w:bottom w:val="single" w:sz="4" w:space="0" w:color="000000"/>
              <w:right w:val="single" w:sz="4" w:space="0" w:color="000000"/>
            </w:tcBorders>
            <w:shd w:val="clear" w:color="auto" w:fill="auto"/>
            <w:vAlign w:val="center"/>
          </w:tcPr>
          <w:p w14:paraId="15582966"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miembros del órgano de gobierno que haya recibido formación sobre anticorrupción</w:t>
            </w:r>
          </w:p>
        </w:tc>
        <w:tc>
          <w:tcPr>
            <w:tcW w:w="703" w:type="dxa"/>
            <w:tcBorders>
              <w:top w:val="nil"/>
              <w:left w:val="nil"/>
              <w:bottom w:val="single" w:sz="4" w:space="0" w:color="000000"/>
              <w:right w:val="single" w:sz="4" w:space="0" w:color="000000"/>
            </w:tcBorders>
            <w:shd w:val="clear" w:color="auto" w:fill="auto"/>
            <w:vAlign w:val="center"/>
          </w:tcPr>
          <w:p w14:paraId="7238DB75"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64" w:type="dxa"/>
            <w:tcBorders>
              <w:top w:val="nil"/>
              <w:left w:val="nil"/>
              <w:bottom w:val="single" w:sz="4" w:space="0" w:color="000000"/>
              <w:right w:val="single" w:sz="4" w:space="0" w:color="000000"/>
            </w:tcBorders>
            <w:shd w:val="clear" w:color="auto" w:fill="auto"/>
            <w:vAlign w:val="center"/>
          </w:tcPr>
          <w:p w14:paraId="0A481A8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64" w:type="dxa"/>
            <w:tcBorders>
              <w:top w:val="nil"/>
              <w:left w:val="nil"/>
              <w:bottom w:val="single" w:sz="4" w:space="0" w:color="000000"/>
              <w:right w:val="single" w:sz="4" w:space="0" w:color="000000"/>
            </w:tcBorders>
            <w:shd w:val="clear" w:color="auto" w:fill="auto"/>
            <w:vAlign w:val="center"/>
          </w:tcPr>
          <w:p w14:paraId="0B2F8797"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r>
      <w:tr w:rsidR="00C132B9" w:rsidRPr="00C132B9" w14:paraId="6813657C" w14:textId="77777777" w:rsidTr="00955EFE">
        <w:trPr>
          <w:trHeight w:val="582"/>
        </w:trPr>
        <w:tc>
          <w:tcPr>
            <w:tcW w:w="6934" w:type="dxa"/>
            <w:tcBorders>
              <w:top w:val="nil"/>
              <w:left w:val="single" w:sz="4" w:space="0" w:color="000000"/>
              <w:bottom w:val="single" w:sz="4" w:space="0" w:color="000000"/>
              <w:right w:val="single" w:sz="4" w:space="0" w:color="000000"/>
            </w:tcBorders>
            <w:shd w:val="clear" w:color="auto" w:fill="auto"/>
            <w:vAlign w:val="center"/>
          </w:tcPr>
          <w:p w14:paraId="4DE46BBB"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empleados que haya recibido formación sobre anticorrupción</w:t>
            </w:r>
          </w:p>
        </w:tc>
        <w:tc>
          <w:tcPr>
            <w:tcW w:w="703" w:type="dxa"/>
            <w:tcBorders>
              <w:top w:val="nil"/>
              <w:left w:val="nil"/>
              <w:bottom w:val="single" w:sz="4" w:space="0" w:color="000000"/>
              <w:right w:val="single" w:sz="4" w:space="0" w:color="000000"/>
            </w:tcBorders>
            <w:shd w:val="clear" w:color="auto" w:fill="auto"/>
            <w:vAlign w:val="center"/>
          </w:tcPr>
          <w:p w14:paraId="4F05C4B1"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197</w:t>
            </w:r>
          </w:p>
        </w:tc>
        <w:tc>
          <w:tcPr>
            <w:tcW w:w="764" w:type="dxa"/>
            <w:tcBorders>
              <w:top w:val="nil"/>
              <w:left w:val="nil"/>
              <w:bottom w:val="single" w:sz="4" w:space="0" w:color="000000"/>
              <w:right w:val="single" w:sz="4" w:space="0" w:color="000000"/>
            </w:tcBorders>
            <w:shd w:val="clear" w:color="auto" w:fill="auto"/>
            <w:vAlign w:val="center"/>
          </w:tcPr>
          <w:p w14:paraId="2B579963"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196</w:t>
            </w:r>
          </w:p>
        </w:tc>
        <w:tc>
          <w:tcPr>
            <w:tcW w:w="764" w:type="dxa"/>
            <w:tcBorders>
              <w:top w:val="nil"/>
              <w:left w:val="nil"/>
              <w:bottom w:val="single" w:sz="4" w:space="0" w:color="000000"/>
              <w:right w:val="single" w:sz="4" w:space="0" w:color="000000"/>
            </w:tcBorders>
            <w:shd w:val="clear" w:color="auto" w:fill="auto"/>
            <w:vAlign w:val="center"/>
          </w:tcPr>
          <w:p w14:paraId="5AA431B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192</w:t>
            </w:r>
          </w:p>
        </w:tc>
      </w:tr>
      <w:tr w:rsidR="00C132B9" w:rsidRPr="00C132B9" w14:paraId="4B1FB90D" w14:textId="77777777" w:rsidTr="00955EFE">
        <w:trPr>
          <w:trHeight w:val="582"/>
        </w:trPr>
        <w:tc>
          <w:tcPr>
            <w:tcW w:w="6934" w:type="dxa"/>
            <w:tcBorders>
              <w:top w:val="nil"/>
              <w:left w:val="single" w:sz="4" w:space="0" w:color="000000"/>
              <w:bottom w:val="single" w:sz="4" w:space="0" w:color="000000"/>
              <w:right w:val="single" w:sz="4" w:space="0" w:color="000000"/>
            </w:tcBorders>
            <w:shd w:val="clear" w:color="auto" w:fill="auto"/>
            <w:vAlign w:val="center"/>
          </w:tcPr>
          <w:p w14:paraId="4B292E7F"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empleados que haya recibido formación sobre anticorrupción</w:t>
            </w:r>
          </w:p>
        </w:tc>
        <w:tc>
          <w:tcPr>
            <w:tcW w:w="703" w:type="dxa"/>
            <w:tcBorders>
              <w:top w:val="nil"/>
              <w:left w:val="nil"/>
              <w:bottom w:val="single" w:sz="4" w:space="0" w:color="000000"/>
              <w:right w:val="single" w:sz="4" w:space="0" w:color="000000"/>
            </w:tcBorders>
            <w:shd w:val="clear" w:color="auto" w:fill="auto"/>
            <w:vAlign w:val="center"/>
          </w:tcPr>
          <w:p w14:paraId="05E99FEC"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97%</w:t>
            </w:r>
          </w:p>
        </w:tc>
        <w:tc>
          <w:tcPr>
            <w:tcW w:w="764" w:type="dxa"/>
            <w:tcBorders>
              <w:top w:val="nil"/>
              <w:left w:val="nil"/>
              <w:bottom w:val="single" w:sz="4" w:space="0" w:color="000000"/>
              <w:right w:val="single" w:sz="4" w:space="0" w:color="000000"/>
            </w:tcBorders>
            <w:shd w:val="clear" w:color="auto" w:fill="auto"/>
            <w:vAlign w:val="center"/>
          </w:tcPr>
          <w:p w14:paraId="6EA8D5C8"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94,2%</w:t>
            </w:r>
          </w:p>
        </w:tc>
        <w:tc>
          <w:tcPr>
            <w:tcW w:w="764" w:type="dxa"/>
            <w:tcBorders>
              <w:top w:val="nil"/>
              <w:left w:val="nil"/>
              <w:bottom w:val="single" w:sz="4" w:space="0" w:color="000000"/>
              <w:right w:val="single" w:sz="4" w:space="0" w:color="000000"/>
            </w:tcBorders>
            <w:shd w:val="clear" w:color="auto" w:fill="auto"/>
            <w:vAlign w:val="center"/>
          </w:tcPr>
          <w:p w14:paraId="5E1E4A9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88,1%</w:t>
            </w:r>
          </w:p>
        </w:tc>
      </w:tr>
    </w:tbl>
    <w:p w14:paraId="1B0B04C9" w14:textId="77777777" w:rsidR="00C132B9" w:rsidRPr="00C132B9" w:rsidRDefault="00C132B9" w:rsidP="00C132B9">
      <w:pPr>
        <w:rPr>
          <w:rFonts w:ascii="Tahoma" w:eastAsia="Tahoma" w:hAnsi="Tahoma" w:cs="Tahoma"/>
          <w:b/>
          <w:kern w:val="0"/>
          <w:lang w:val="es-ES" w:eastAsia="es-CO"/>
          <w14:ligatures w14:val="none"/>
        </w:rPr>
      </w:pPr>
    </w:p>
    <w:tbl>
      <w:tblPr>
        <w:tblW w:w="8571" w:type="dxa"/>
        <w:tblLayout w:type="fixed"/>
        <w:tblLook w:val="0400" w:firstRow="0" w:lastRow="0" w:firstColumn="0" w:lastColumn="0" w:noHBand="0" w:noVBand="1"/>
      </w:tblPr>
      <w:tblGrid>
        <w:gridCol w:w="6232"/>
        <w:gridCol w:w="851"/>
        <w:gridCol w:w="709"/>
        <w:gridCol w:w="779"/>
      </w:tblGrid>
      <w:tr w:rsidR="00C132B9" w:rsidRPr="00C132B9" w14:paraId="44BF644B" w14:textId="77777777" w:rsidTr="00955EFE">
        <w:trPr>
          <w:trHeight w:val="1398"/>
        </w:trPr>
        <w:tc>
          <w:tcPr>
            <w:tcW w:w="62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35D6D" w14:textId="77777777" w:rsidR="00C132B9" w:rsidRPr="00C132B9" w:rsidRDefault="00C132B9" w:rsidP="00C132B9">
            <w:pPr>
              <w:spacing w:after="0" w:line="240" w:lineRule="auto"/>
              <w:jc w:val="both"/>
              <w:rPr>
                <w:rFonts w:ascii="Tahoma" w:eastAsia="Arial" w:hAnsi="Tahoma" w:cs="Tahoma"/>
                <w:b/>
                <w:kern w:val="0"/>
                <w:sz w:val="22"/>
                <w:szCs w:val="22"/>
                <w:lang w:val="es-ES" w:eastAsia="es-CO"/>
                <w14:ligatures w14:val="none"/>
              </w:rPr>
            </w:pPr>
            <w:r w:rsidRPr="00C132B9">
              <w:rPr>
                <w:rFonts w:ascii="Tahoma" w:eastAsia="Arial" w:hAnsi="Tahoma" w:cs="Tahoma"/>
                <w:b/>
                <w:kern w:val="0"/>
                <w:sz w:val="22"/>
                <w:szCs w:val="22"/>
                <w:lang w:val="es-ES" w:eastAsia="es-CO"/>
                <w14:ligatures w14:val="none"/>
              </w:rPr>
              <w:t>Comunicación y formación sobre políticas y procedimientos anticorrupción para proveedores</w:t>
            </w:r>
          </w:p>
        </w:tc>
        <w:tc>
          <w:tcPr>
            <w:tcW w:w="851" w:type="dxa"/>
            <w:tcBorders>
              <w:top w:val="single" w:sz="4" w:space="0" w:color="000000"/>
              <w:left w:val="nil"/>
              <w:bottom w:val="single" w:sz="4" w:space="0" w:color="000000"/>
              <w:right w:val="single" w:sz="4" w:space="0" w:color="000000"/>
            </w:tcBorders>
            <w:shd w:val="clear" w:color="auto" w:fill="auto"/>
            <w:vAlign w:val="center"/>
          </w:tcPr>
          <w:p w14:paraId="31E3E03C" w14:textId="77777777" w:rsidR="00C132B9" w:rsidRPr="00C132B9" w:rsidRDefault="00C132B9" w:rsidP="00C132B9">
            <w:pPr>
              <w:spacing w:after="0" w:line="240" w:lineRule="auto"/>
              <w:jc w:val="center"/>
              <w:rPr>
                <w:rFonts w:ascii="Tahoma" w:eastAsia="Arial" w:hAnsi="Tahoma" w:cs="Tahoma"/>
                <w:b/>
                <w:kern w:val="0"/>
                <w:sz w:val="22"/>
                <w:szCs w:val="22"/>
                <w:lang w:val="es-ES" w:eastAsia="es-CO"/>
                <w14:ligatures w14:val="none"/>
              </w:rPr>
            </w:pPr>
            <w:r w:rsidRPr="00C132B9">
              <w:rPr>
                <w:rFonts w:ascii="Tahoma" w:eastAsia="Arial" w:hAnsi="Tahoma" w:cs="Tahoma"/>
                <w:b/>
                <w:kern w:val="0"/>
                <w:sz w:val="22"/>
                <w:szCs w:val="22"/>
                <w:lang w:val="es-ES" w:eastAsia="es-CO"/>
                <w14:ligatures w14:val="none"/>
              </w:rPr>
              <w:t>2022</w:t>
            </w:r>
          </w:p>
        </w:tc>
        <w:tc>
          <w:tcPr>
            <w:tcW w:w="709" w:type="dxa"/>
            <w:tcBorders>
              <w:top w:val="single" w:sz="4" w:space="0" w:color="000000"/>
              <w:left w:val="nil"/>
              <w:bottom w:val="single" w:sz="4" w:space="0" w:color="000000"/>
              <w:right w:val="single" w:sz="4" w:space="0" w:color="000000"/>
            </w:tcBorders>
            <w:shd w:val="clear" w:color="auto" w:fill="auto"/>
            <w:vAlign w:val="center"/>
          </w:tcPr>
          <w:p w14:paraId="0E1E3C23" w14:textId="77777777" w:rsidR="00C132B9" w:rsidRPr="00C132B9" w:rsidRDefault="00C132B9" w:rsidP="00C132B9">
            <w:pPr>
              <w:spacing w:after="0" w:line="240" w:lineRule="auto"/>
              <w:jc w:val="center"/>
              <w:rPr>
                <w:rFonts w:ascii="Tahoma" w:eastAsia="Arial" w:hAnsi="Tahoma" w:cs="Tahoma"/>
                <w:b/>
                <w:kern w:val="0"/>
                <w:sz w:val="22"/>
                <w:szCs w:val="22"/>
                <w:lang w:val="es-ES" w:eastAsia="es-CO"/>
                <w14:ligatures w14:val="none"/>
              </w:rPr>
            </w:pPr>
            <w:r w:rsidRPr="00C132B9">
              <w:rPr>
                <w:rFonts w:ascii="Tahoma" w:eastAsia="Arial" w:hAnsi="Tahoma" w:cs="Tahoma"/>
                <w:b/>
                <w:kern w:val="0"/>
                <w:sz w:val="22"/>
                <w:szCs w:val="22"/>
                <w:lang w:val="es-ES" w:eastAsia="es-CO"/>
                <w14:ligatures w14:val="none"/>
              </w:rPr>
              <w:t>2023</w:t>
            </w:r>
          </w:p>
        </w:tc>
        <w:tc>
          <w:tcPr>
            <w:tcW w:w="779" w:type="dxa"/>
            <w:tcBorders>
              <w:top w:val="single" w:sz="4" w:space="0" w:color="000000"/>
              <w:left w:val="nil"/>
              <w:bottom w:val="single" w:sz="4" w:space="0" w:color="000000"/>
              <w:right w:val="single" w:sz="4" w:space="0" w:color="000000"/>
            </w:tcBorders>
            <w:shd w:val="clear" w:color="auto" w:fill="auto"/>
            <w:vAlign w:val="center"/>
          </w:tcPr>
          <w:p w14:paraId="38F5B221" w14:textId="77777777" w:rsidR="00C132B9" w:rsidRPr="00C132B9" w:rsidRDefault="00C132B9" w:rsidP="00C132B9">
            <w:pPr>
              <w:spacing w:after="0" w:line="240" w:lineRule="auto"/>
              <w:jc w:val="center"/>
              <w:rPr>
                <w:rFonts w:ascii="Tahoma" w:eastAsia="Arial" w:hAnsi="Tahoma" w:cs="Tahoma"/>
                <w:b/>
                <w:kern w:val="0"/>
                <w:sz w:val="22"/>
                <w:szCs w:val="22"/>
                <w:lang w:val="es-ES" w:eastAsia="es-CO"/>
                <w14:ligatures w14:val="none"/>
              </w:rPr>
            </w:pPr>
            <w:r w:rsidRPr="00C132B9">
              <w:rPr>
                <w:rFonts w:ascii="Tahoma" w:eastAsia="Arial" w:hAnsi="Tahoma" w:cs="Tahoma"/>
                <w:b/>
                <w:kern w:val="0"/>
                <w:sz w:val="22"/>
                <w:szCs w:val="22"/>
                <w:lang w:val="es-ES" w:eastAsia="es-CO"/>
                <w14:ligatures w14:val="none"/>
              </w:rPr>
              <w:t>2024</w:t>
            </w:r>
          </w:p>
        </w:tc>
      </w:tr>
      <w:tr w:rsidR="00C132B9" w:rsidRPr="00C132B9" w14:paraId="480BDBED" w14:textId="77777777" w:rsidTr="00955EFE">
        <w:trPr>
          <w:trHeight w:val="301"/>
        </w:trPr>
        <w:tc>
          <w:tcPr>
            <w:tcW w:w="6232" w:type="dxa"/>
            <w:tcBorders>
              <w:top w:val="nil"/>
              <w:left w:val="single" w:sz="4" w:space="0" w:color="000000"/>
              <w:bottom w:val="single" w:sz="4" w:space="0" w:color="000000"/>
              <w:right w:val="single" w:sz="4" w:space="0" w:color="000000"/>
            </w:tcBorders>
            <w:shd w:val="clear" w:color="auto" w:fill="auto"/>
            <w:vAlign w:val="center"/>
          </w:tcPr>
          <w:p w14:paraId="7D7775F2"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total de proveedores</w:t>
            </w:r>
          </w:p>
        </w:tc>
        <w:tc>
          <w:tcPr>
            <w:tcW w:w="851" w:type="dxa"/>
            <w:tcBorders>
              <w:top w:val="nil"/>
              <w:left w:val="nil"/>
              <w:bottom w:val="single" w:sz="4" w:space="0" w:color="000000"/>
              <w:right w:val="single" w:sz="4" w:space="0" w:color="000000"/>
            </w:tcBorders>
            <w:shd w:val="clear" w:color="auto" w:fill="auto"/>
            <w:vAlign w:val="center"/>
          </w:tcPr>
          <w:p w14:paraId="6AF4C9E9"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86</w:t>
            </w:r>
          </w:p>
        </w:tc>
        <w:tc>
          <w:tcPr>
            <w:tcW w:w="709" w:type="dxa"/>
            <w:tcBorders>
              <w:top w:val="nil"/>
              <w:left w:val="nil"/>
              <w:bottom w:val="single" w:sz="4" w:space="0" w:color="000000"/>
              <w:right w:val="single" w:sz="4" w:space="0" w:color="000000"/>
            </w:tcBorders>
            <w:shd w:val="clear" w:color="auto" w:fill="auto"/>
            <w:vAlign w:val="center"/>
          </w:tcPr>
          <w:p w14:paraId="4BF2D95E"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243</w:t>
            </w:r>
          </w:p>
        </w:tc>
        <w:tc>
          <w:tcPr>
            <w:tcW w:w="779" w:type="dxa"/>
            <w:tcBorders>
              <w:top w:val="nil"/>
              <w:left w:val="nil"/>
              <w:bottom w:val="single" w:sz="4" w:space="0" w:color="000000"/>
              <w:right w:val="single" w:sz="4" w:space="0" w:color="000000"/>
            </w:tcBorders>
            <w:shd w:val="clear" w:color="auto" w:fill="auto"/>
            <w:vAlign w:val="center"/>
          </w:tcPr>
          <w:p w14:paraId="3E89D061"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391</w:t>
            </w:r>
          </w:p>
        </w:tc>
      </w:tr>
      <w:tr w:rsidR="00C132B9" w:rsidRPr="00C132B9" w14:paraId="3F17EC6E" w14:textId="77777777" w:rsidTr="00955EFE">
        <w:trPr>
          <w:trHeight w:val="1206"/>
        </w:trPr>
        <w:tc>
          <w:tcPr>
            <w:tcW w:w="6232" w:type="dxa"/>
            <w:tcBorders>
              <w:top w:val="nil"/>
              <w:left w:val="single" w:sz="4" w:space="0" w:color="000000"/>
              <w:bottom w:val="single" w:sz="4" w:space="0" w:color="000000"/>
              <w:right w:val="single" w:sz="4" w:space="0" w:color="000000"/>
            </w:tcBorders>
            <w:shd w:val="clear" w:color="auto" w:fill="auto"/>
            <w:vAlign w:val="center"/>
          </w:tcPr>
          <w:p w14:paraId="0A00DFE7"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proveedores a quienes se haya comunicado las políticas y procedimientos de ética, cumplimiento y anticorrupción de la empresa</w:t>
            </w:r>
          </w:p>
        </w:tc>
        <w:tc>
          <w:tcPr>
            <w:tcW w:w="851" w:type="dxa"/>
            <w:tcBorders>
              <w:top w:val="nil"/>
              <w:left w:val="nil"/>
              <w:bottom w:val="single" w:sz="4" w:space="0" w:color="000000"/>
              <w:right w:val="single" w:sz="4" w:space="0" w:color="000000"/>
            </w:tcBorders>
            <w:shd w:val="clear" w:color="auto" w:fill="auto"/>
            <w:vAlign w:val="center"/>
          </w:tcPr>
          <w:p w14:paraId="5E9A5B5C"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86</w:t>
            </w:r>
          </w:p>
        </w:tc>
        <w:tc>
          <w:tcPr>
            <w:tcW w:w="709" w:type="dxa"/>
            <w:tcBorders>
              <w:top w:val="nil"/>
              <w:left w:val="nil"/>
              <w:bottom w:val="single" w:sz="4" w:space="0" w:color="000000"/>
              <w:right w:val="single" w:sz="4" w:space="0" w:color="000000"/>
            </w:tcBorders>
            <w:shd w:val="clear" w:color="auto" w:fill="auto"/>
            <w:vAlign w:val="center"/>
          </w:tcPr>
          <w:p w14:paraId="62AFCC56"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243</w:t>
            </w:r>
          </w:p>
        </w:tc>
        <w:tc>
          <w:tcPr>
            <w:tcW w:w="779" w:type="dxa"/>
            <w:tcBorders>
              <w:top w:val="nil"/>
              <w:left w:val="nil"/>
              <w:bottom w:val="single" w:sz="4" w:space="0" w:color="000000"/>
              <w:right w:val="single" w:sz="4" w:space="0" w:color="000000"/>
            </w:tcBorders>
            <w:shd w:val="clear" w:color="auto" w:fill="auto"/>
            <w:vAlign w:val="center"/>
          </w:tcPr>
          <w:p w14:paraId="0D3ED90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391</w:t>
            </w:r>
          </w:p>
        </w:tc>
      </w:tr>
      <w:tr w:rsidR="00C132B9" w:rsidRPr="00C132B9" w14:paraId="102B8B25" w14:textId="77777777" w:rsidTr="00955EFE">
        <w:trPr>
          <w:trHeight w:val="1206"/>
        </w:trPr>
        <w:tc>
          <w:tcPr>
            <w:tcW w:w="6232" w:type="dxa"/>
            <w:tcBorders>
              <w:top w:val="nil"/>
              <w:left w:val="single" w:sz="4" w:space="0" w:color="000000"/>
              <w:bottom w:val="single" w:sz="4" w:space="0" w:color="000000"/>
              <w:right w:val="single" w:sz="4" w:space="0" w:color="000000"/>
            </w:tcBorders>
            <w:shd w:val="clear" w:color="auto" w:fill="auto"/>
            <w:vAlign w:val="center"/>
          </w:tcPr>
          <w:p w14:paraId="13D61579"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proveedores a quienes se haya comunicado las políticas y procedimientos de ética, cumplimiento y anticorrupción de la empresa</w:t>
            </w:r>
          </w:p>
        </w:tc>
        <w:tc>
          <w:tcPr>
            <w:tcW w:w="851" w:type="dxa"/>
            <w:tcBorders>
              <w:top w:val="nil"/>
              <w:left w:val="nil"/>
              <w:bottom w:val="single" w:sz="4" w:space="0" w:color="000000"/>
              <w:right w:val="single" w:sz="4" w:space="0" w:color="000000"/>
            </w:tcBorders>
            <w:shd w:val="clear" w:color="auto" w:fill="auto"/>
            <w:vAlign w:val="center"/>
          </w:tcPr>
          <w:p w14:paraId="170290CF"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09" w:type="dxa"/>
            <w:tcBorders>
              <w:top w:val="nil"/>
              <w:left w:val="nil"/>
              <w:bottom w:val="single" w:sz="4" w:space="0" w:color="000000"/>
              <w:right w:val="single" w:sz="4" w:space="0" w:color="000000"/>
            </w:tcBorders>
            <w:shd w:val="clear" w:color="auto" w:fill="auto"/>
            <w:vAlign w:val="center"/>
          </w:tcPr>
          <w:p w14:paraId="587A2479"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79" w:type="dxa"/>
            <w:tcBorders>
              <w:top w:val="nil"/>
              <w:left w:val="nil"/>
              <w:bottom w:val="single" w:sz="4" w:space="0" w:color="000000"/>
              <w:right w:val="single" w:sz="4" w:space="0" w:color="000000"/>
            </w:tcBorders>
            <w:shd w:val="clear" w:color="auto" w:fill="auto"/>
            <w:vAlign w:val="center"/>
          </w:tcPr>
          <w:p w14:paraId="60D6168A"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r>
      <w:tr w:rsidR="00C132B9" w:rsidRPr="00C132B9" w14:paraId="17D7E112" w14:textId="77777777" w:rsidTr="00955EFE">
        <w:trPr>
          <w:trHeight w:val="602"/>
        </w:trPr>
        <w:tc>
          <w:tcPr>
            <w:tcW w:w="6232" w:type="dxa"/>
            <w:tcBorders>
              <w:top w:val="nil"/>
              <w:left w:val="single" w:sz="4" w:space="0" w:color="000000"/>
              <w:bottom w:val="single" w:sz="4" w:space="0" w:color="000000"/>
              <w:right w:val="single" w:sz="4" w:space="0" w:color="000000"/>
            </w:tcBorders>
            <w:shd w:val="clear" w:color="auto" w:fill="auto"/>
            <w:vAlign w:val="center"/>
          </w:tcPr>
          <w:p w14:paraId="7185CA34"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Número de proveedores que han recibido formación sobre anticorrupción</w:t>
            </w:r>
          </w:p>
        </w:tc>
        <w:tc>
          <w:tcPr>
            <w:tcW w:w="851" w:type="dxa"/>
            <w:tcBorders>
              <w:top w:val="nil"/>
              <w:left w:val="nil"/>
              <w:bottom w:val="single" w:sz="4" w:space="0" w:color="000000"/>
              <w:right w:val="single" w:sz="4" w:space="0" w:color="000000"/>
            </w:tcBorders>
            <w:shd w:val="clear" w:color="auto" w:fill="auto"/>
            <w:vAlign w:val="center"/>
          </w:tcPr>
          <w:p w14:paraId="34AB1CD6"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86</w:t>
            </w:r>
          </w:p>
        </w:tc>
        <w:tc>
          <w:tcPr>
            <w:tcW w:w="709" w:type="dxa"/>
            <w:tcBorders>
              <w:top w:val="nil"/>
              <w:left w:val="nil"/>
              <w:bottom w:val="single" w:sz="4" w:space="0" w:color="000000"/>
              <w:right w:val="single" w:sz="4" w:space="0" w:color="000000"/>
            </w:tcBorders>
            <w:shd w:val="clear" w:color="auto" w:fill="auto"/>
            <w:vAlign w:val="center"/>
          </w:tcPr>
          <w:p w14:paraId="237DFF75"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0</w:t>
            </w:r>
          </w:p>
        </w:tc>
        <w:tc>
          <w:tcPr>
            <w:tcW w:w="779" w:type="dxa"/>
            <w:tcBorders>
              <w:top w:val="nil"/>
              <w:left w:val="nil"/>
              <w:bottom w:val="single" w:sz="4" w:space="0" w:color="000000"/>
              <w:right w:val="single" w:sz="4" w:space="0" w:color="000000"/>
            </w:tcBorders>
            <w:shd w:val="clear" w:color="auto" w:fill="auto"/>
            <w:vAlign w:val="center"/>
          </w:tcPr>
          <w:p w14:paraId="33BDEA72"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0</w:t>
            </w:r>
          </w:p>
        </w:tc>
      </w:tr>
      <w:tr w:rsidR="00C132B9" w:rsidRPr="00C132B9" w14:paraId="6A579663" w14:textId="77777777" w:rsidTr="00955EFE">
        <w:trPr>
          <w:trHeight w:val="602"/>
        </w:trPr>
        <w:tc>
          <w:tcPr>
            <w:tcW w:w="6232" w:type="dxa"/>
            <w:tcBorders>
              <w:top w:val="nil"/>
              <w:left w:val="single" w:sz="4" w:space="0" w:color="000000"/>
              <w:bottom w:val="single" w:sz="4" w:space="0" w:color="000000"/>
              <w:right w:val="single" w:sz="4" w:space="0" w:color="000000"/>
            </w:tcBorders>
            <w:shd w:val="clear" w:color="auto" w:fill="auto"/>
            <w:vAlign w:val="center"/>
          </w:tcPr>
          <w:p w14:paraId="4FE23838" w14:textId="77777777" w:rsidR="00C132B9" w:rsidRPr="00C132B9" w:rsidRDefault="00C132B9" w:rsidP="00C132B9">
            <w:pPr>
              <w:spacing w:after="0" w:line="240" w:lineRule="auto"/>
              <w:jc w:val="both"/>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Porcentaje de proveedores que han recibido formación sobre anticorrupción</w:t>
            </w:r>
          </w:p>
        </w:tc>
        <w:tc>
          <w:tcPr>
            <w:tcW w:w="851" w:type="dxa"/>
            <w:tcBorders>
              <w:top w:val="nil"/>
              <w:left w:val="nil"/>
              <w:bottom w:val="single" w:sz="4" w:space="0" w:color="000000"/>
              <w:right w:val="single" w:sz="4" w:space="0" w:color="000000"/>
            </w:tcBorders>
            <w:shd w:val="clear" w:color="auto" w:fill="auto"/>
            <w:vAlign w:val="center"/>
          </w:tcPr>
          <w:p w14:paraId="34939D87"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100%</w:t>
            </w:r>
          </w:p>
        </w:tc>
        <w:tc>
          <w:tcPr>
            <w:tcW w:w="709" w:type="dxa"/>
            <w:tcBorders>
              <w:top w:val="nil"/>
              <w:left w:val="nil"/>
              <w:bottom w:val="single" w:sz="4" w:space="0" w:color="000000"/>
              <w:right w:val="single" w:sz="4" w:space="0" w:color="000000"/>
            </w:tcBorders>
            <w:shd w:val="clear" w:color="auto" w:fill="auto"/>
            <w:vAlign w:val="center"/>
          </w:tcPr>
          <w:p w14:paraId="1E0F0E13"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0%</w:t>
            </w:r>
          </w:p>
        </w:tc>
        <w:tc>
          <w:tcPr>
            <w:tcW w:w="779" w:type="dxa"/>
            <w:tcBorders>
              <w:top w:val="nil"/>
              <w:left w:val="nil"/>
              <w:bottom w:val="single" w:sz="4" w:space="0" w:color="000000"/>
              <w:right w:val="single" w:sz="4" w:space="0" w:color="000000"/>
            </w:tcBorders>
            <w:shd w:val="clear" w:color="auto" w:fill="auto"/>
            <w:vAlign w:val="center"/>
          </w:tcPr>
          <w:p w14:paraId="429BB410" w14:textId="77777777" w:rsidR="00C132B9" w:rsidRPr="00C132B9" w:rsidRDefault="00C132B9" w:rsidP="00C132B9">
            <w:pPr>
              <w:spacing w:after="0" w:line="240" w:lineRule="auto"/>
              <w:jc w:val="center"/>
              <w:rPr>
                <w:rFonts w:ascii="Tahoma" w:eastAsia="Arial" w:hAnsi="Tahoma" w:cs="Tahoma"/>
                <w:kern w:val="0"/>
                <w:sz w:val="20"/>
                <w:szCs w:val="20"/>
                <w:lang w:val="es-ES" w:eastAsia="es-CO"/>
                <w14:ligatures w14:val="none"/>
              </w:rPr>
            </w:pPr>
            <w:r w:rsidRPr="00C132B9">
              <w:rPr>
                <w:rFonts w:ascii="Tahoma" w:eastAsia="Arial" w:hAnsi="Tahoma" w:cs="Tahoma"/>
                <w:kern w:val="0"/>
                <w:sz w:val="20"/>
                <w:szCs w:val="20"/>
                <w:lang w:val="es-ES" w:eastAsia="es-CO"/>
                <w14:ligatures w14:val="none"/>
              </w:rPr>
              <w:t>0%</w:t>
            </w:r>
          </w:p>
        </w:tc>
      </w:tr>
    </w:tbl>
    <w:p w14:paraId="3D31463B" w14:textId="77777777" w:rsidR="00C132B9" w:rsidRPr="00B83A53" w:rsidRDefault="00C132B9" w:rsidP="00C132B9">
      <w:pPr>
        <w:rPr>
          <w:rFonts w:ascii="Tahoma" w:eastAsia="Tahoma" w:hAnsi="Tahoma" w:cs="Tahoma"/>
          <w:b/>
          <w:color w:val="0070C0"/>
          <w:kern w:val="0"/>
          <w:lang w:val="es-ES" w:eastAsia="es-CO"/>
          <w14:ligatures w14:val="none"/>
        </w:rPr>
      </w:pPr>
      <w:r w:rsidRPr="00B83A53">
        <w:rPr>
          <w:rFonts w:ascii="Tahoma" w:eastAsia="Tahoma" w:hAnsi="Tahoma" w:cs="Tahoma"/>
          <w:b/>
          <w:color w:val="0070C0"/>
          <w:kern w:val="0"/>
          <w:lang w:val="es-ES" w:eastAsia="es-CO"/>
          <w14:ligatures w14:val="none"/>
        </w:rPr>
        <w:t xml:space="preserve"> GRI 205-2</w:t>
      </w:r>
    </w:p>
    <w:p w14:paraId="117CDB21" w14:textId="77777777" w:rsidR="00C132B9" w:rsidRDefault="00C132B9">
      <w:pPr>
        <w:rPr>
          <w:rFonts w:ascii="Calibri" w:hAnsi="Calibri" w:cs="Calibri"/>
          <w:sz w:val="52"/>
          <w:szCs w:val="52"/>
          <w:lang w:val="es-ES"/>
        </w:rPr>
      </w:pPr>
    </w:p>
    <w:p w14:paraId="74AC2475" w14:textId="788CE4D2" w:rsidR="0031711E" w:rsidRDefault="0031711E" w:rsidP="00415262">
      <w:pPr>
        <w:rPr>
          <w:rFonts w:ascii="Calibri" w:hAnsi="Calibri" w:cs="Calibri"/>
          <w:sz w:val="52"/>
          <w:szCs w:val="52"/>
          <w:lang w:val="es-ES"/>
        </w:rPr>
      </w:pPr>
      <w:bookmarkStart w:id="4" w:name="DERECHOSHUMANOS"/>
      <w:r>
        <w:rPr>
          <w:rFonts w:ascii="Calibri" w:hAnsi="Calibri" w:cs="Calibri"/>
          <w:noProof/>
          <w:sz w:val="52"/>
          <w:szCs w:val="52"/>
          <w:lang w:val="es-ES"/>
        </w:rPr>
        <w:lastRenderedPageBreak/>
        <w:drawing>
          <wp:inline distT="0" distB="0" distL="0" distR="0" wp14:anchorId="0336198F" wp14:editId="151BE2E7">
            <wp:extent cx="5612130" cy="7262495"/>
            <wp:effectExtent l="0" t="0" r="1270" b="1905"/>
            <wp:docPr id="100601435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14354" name="Imagen 100601435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4"/>
    </w:p>
    <w:p w14:paraId="503341C7" w14:textId="77777777" w:rsidR="0031711E" w:rsidRDefault="0031711E">
      <w:pPr>
        <w:rPr>
          <w:rFonts w:ascii="Calibri" w:hAnsi="Calibri" w:cs="Calibri"/>
          <w:sz w:val="52"/>
          <w:szCs w:val="52"/>
          <w:lang w:val="es-ES"/>
        </w:rPr>
      </w:pPr>
      <w:r>
        <w:rPr>
          <w:rFonts w:ascii="Calibri" w:hAnsi="Calibri" w:cs="Calibri"/>
          <w:sz w:val="52"/>
          <w:szCs w:val="52"/>
          <w:lang w:val="es-ES"/>
        </w:rPr>
        <w:br w:type="page"/>
      </w:r>
    </w:p>
    <w:p w14:paraId="4F5F185C" w14:textId="7A93046E" w:rsidR="005C4B78" w:rsidRPr="00B83A53" w:rsidRDefault="005C4B78" w:rsidP="00B83A53">
      <w:pPr>
        <w:spacing w:after="0" w:line="240" w:lineRule="auto"/>
        <w:rPr>
          <w:rFonts w:ascii="Tahoma" w:eastAsia="Times New Roman" w:hAnsi="Tahoma" w:cs="Tahoma"/>
          <w:color w:val="0070C0"/>
          <w:kern w:val="0"/>
          <w:sz w:val="22"/>
          <w:lang w:val="es-ES" w:eastAsia="es-CO"/>
          <w14:ligatures w14:val="none"/>
        </w:rPr>
      </w:pPr>
      <w:r w:rsidRPr="00B83A53">
        <w:rPr>
          <w:rFonts w:ascii="Tahoma" w:eastAsia="Aptos" w:hAnsi="Tahoma" w:cs="Tahoma"/>
          <w:b/>
          <w:color w:val="0070C0"/>
          <w:kern w:val="0"/>
          <w:sz w:val="36"/>
          <w:szCs w:val="40"/>
          <w:lang w:val="es-ES" w:eastAsia="es-CO"/>
          <w14:ligatures w14:val="none"/>
        </w:rPr>
        <w:lastRenderedPageBreak/>
        <w:t>D</w:t>
      </w:r>
      <w:r w:rsidR="007D3796" w:rsidRPr="00B83A53">
        <w:rPr>
          <w:rFonts w:ascii="Tahoma" w:eastAsia="Aptos" w:hAnsi="Tahoma" w:cs="Tahoma"/>
          <w:b/>
          <w:color w:val="0070C0"/>
          <w:kern w:val="0"/>
          <w:sz w:val="36"/>
          <w:szCs w:val="40"/>
          <w:lang w:val="es-ES" w:eastAsia="es-CO"/>
          <w14:ligatures w14:val="none"/>
        </w:rPr>
        <w:t>erechos humanos</w:t>
      </w:r>
    </w:p>
    <w:p w14:paraId="0E3651F9"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4F37B0C"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 xml:space="preserve">GRI 2-23 </w:t>
      </w:r>
      <w:r w:rsidRPr="005C4B78">
        <w:rPr>
          <w:rFonts w:ascii="Tahoma" w:eastAsia="Aptos" w:hAnsi="Tahoma" w:cs="Tahoma"/>
          <w:kern w:val="0"/>
          <w:lang w:val="es-ES" w:eastAsia="es-CO"/>
          <w14:ligatures w14:val="none"/>
        </w:rPr>
        <w:t>GRI 408-1 GRI 409-1 GRI 410-1</w:t>
      </w:r>
    </w:p>
    <w:p w14:paraId="1BC4610A" w14:textId="77777777" w:rsidR="005C4B78" w:rsidRPr="005C4B78" w:rsidRDefault="005C4B78" w:rsidP="005C4B78">
      <w:pPr>
        <w:spacing w:after="240" w:line="240" w:lineRule="auto"/>
        <w:rPr>
          <w:rFonts w:ascii="Tahoma" w:eastAsia="Times New Roman" w:hAnsi="Tahoma" w:cs="Tahoma"/>
          <w:kern w:val="0"/>
          <w:lang w:val="es-ES" w:eastAsia="es-CO"/>
          <w14:ligatures w14:val="none"/>
        </w:rPr>
      </w:pPr>
    </w:p>
    <w:p w14:paraId="57CB82C4" w14:textId="77777777" w:rsidR="005C4B78" w:rsidRPr="005C4B78" w:rsidRDefault="005C4B78" w:rsidP="00B83A53">
      <w:pPr>
        <w:spacing w:after="0" w:line="240" w:lineRule="auto"/>
        <w:jc w:val="both"/>
        <w:rPr>
          <w:rFonts w:ascii="Tahoma" w:eastAsia="Times New Roman" w:hAnsi="Tahoma" w:cs="Tahoma"/>
          <w:kern w:val="0"/>
          <w:sz w:val="22"/>
          <w:lang w:val="es-ES" w:eastAsia="es-CO"/>
          <w14:ligatures w14:val="none"/>
        </w:rPr>
      </w:pPr>
      <w:r w:rsidRPr="005C4B78">
        <w:rPr>
          <w:rFonts w:ascii="Tahoma" w:eastAsia="Aptos" w:hAnsi="Tahoma" w:cs="Tahoma"/>
          <w:b/>
          <w:kern w:val="0"/>
          <w:sz w:val="32"/>
          <w:szCs w:val="34"/>
          <w:lang w:val="es-ES" w:eastAsia="es-CO"/>
          <w14:ligatures w14:val="none"/>
        </w:rPr>
        <w:t>Declaratoria</w:t>
      </w:r>
    </w:p>
    <w:p w14:paraId="356473A4" w14:textId="77777777" w:rsidR="005C4B78" w:rsidRPr="005C4B78" w:rsidRDefault="005C4B78" w:rsidP="00B83A53">
      <w:pPr>
        <w:spacing w:after="0" w:line="240" w:lineRule="auto"/>
        <w:rPr>
          <w:rFonts w:ascii="Tahoma" w:eastAsia="Times New Roman" w:hAnsi="Tahoma" w:cs="Tahoma"/>
          <w:kern w:val="0"/>
          <w:lang w:val="es-ES" w:eastAsia="es-CO"/>
          <w14:ligatures w14:val="none"/>
        </w:rPr>
      </w:pPr>
    </w:p>
    <w:p w14:paraId="69B53DA2" w14:textId="77777777" w:rsidR="005C4B78" w:rsidRPr="005C4B78" w:rsidRDefault="005C4B78" w:rsidP="00B83A53">
      <w:pPr>
        <w:spacing w:after="0" w:line="240" w:lineRule="auto"/>
        <w:ind w:left="720"/>
        <w:jc w:val="right"/>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“ISA y sus empresas declaran respetar los Derechos Humanos contenidos en la Declaración Universal de los Derechos Humanos, el Pacto Internacional de Derechos Civiles y Políticos, el Pacto Internacional de Derechos Económicos, Sociales y Culturales, y en los marcos constitucionales y legales de los países en donde opera, incluidos los tratados internacionales ratificados por cada país”. </w:t>
      </w:r>
    </w:p>
    <w:p w14:paraId="690A4EA2" w14:textId="77777777" w:rsidR="005C4B78" w:rsidRPr="005C4B78" w:rsidRDefault="005C4B78" w:rsidP="00B83A53">
      <w:pPr>
        <w:spacing w:after="0" w:line="240" w:lineRule="auto"/>
        <w:rPr>
          <w:rFonts w:ascii="Tahoma" w:eastAsia="Times New Roman" w:hAnsi="Tahoma" w:cs="Tahoma"/>
          <w:kern w:val="0"/>
          <w:lang w:val="es-ES" w:eastAsia="es-CO"/>
          <w14:ligatures w14:val="none"/>
        </w:rPr>
      </w:pPr>
    </w:p>
    <w:p w14:paraId="4B779470" w14:textId="77777777" w:rsidR="005C4B78" w:rsidRPr="005C4B78" w:rsidRDefault="005C4B78" w:rsidP="00B83A53">
      <w:pPr>
        <w:spacing w:after="0" w:line="240" w:lineRule="auto"/>
        <w:ind w:left="720"/>
        <w:jc w:val="right"/>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“Esto significa que se abstiene de infringir los DDHH y se responsabiliza de las consecuencias negativas generadas por la vulneración de estos en los que tenga participación directa”</w:t>
      </w:r>
    </w:p>
    <w:p w14:paraId="458662A1" w14:textId="77777777" w:rsidR="005C4B78" w:rsidRPr="005C4B78" w:rsidRDefault="005C4B78" w:rsidP="00B83A53">
      <w:pPr>
        <w:spacing w:after="0" w:line="240" w:lineRule="auto"/>
        <w:ind w:left="720"/>
        <w:jc w:val="right"/>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GRI 2-23a. </w:t>
      </w:r>
    </w:p>
    <w:p w14:paraId="4F82A170"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6178358E"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A continuación, se resaltan algunos de los compromisos y políticas específicas para promover y respetar los DDHH divulgados en la Declaración Universal:</w:t>
      </w:r>
    </w:p>
    <w:p w14:paraId="5BAB69B1"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A0294B9" w14:textId="77777777" w:rsidR="005C4B78" w:rsidRPr="005C4B78" w:rsidRDefault="005C4B78" w:rsidP="00AC1146">
      <w:pPr>
        <w:numPr>
          <w:ilvl w:val="0"/>
          <w:numId w:val="4"/>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Divulga los DDHH y actividades de promoción y formación en todos los niveles de la organización y en su cadena de abastecimiento.</w:t>
      </w:r>
    </w:p>
    <w:p w14:paraId="30106CDA"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012CB367" w14:textId="77777777" w:rsidR="005C4B78" w:rsidRPr="005C4B78" w:rsidRDefault="005C4B78" w:rsidP="00AC1146">
      <w:pPr>
        <w:numPr>
          <w:ilvl w:val="0"/>
          <w:numId w:val="5"/>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No admite el trabajo infantil y el trabajo forzado o realizado mediante coacción para lo cual promueve acciones que contribuyen a evitarlo. </w:t>
      </w:r>
    </w:p>
    <w:p w14:paraId="2AEB1F7B"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192379D8" w14:textId="77777777" w:rsidR="005C4B78" w:rsidRPr="005C4B78" w:rsidRDefault="005C4B78" w:rsidP="00AC1146">
      <w:pPr>
        <w:numPr>
          <w:ilvl w:val="0"/>
          <w:numId w:val="6"/>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Respeta el derecho de sus trabajadores a ser representados por sindicatos u otras formas de asociación laborales.</w:t>
      </w:r>
    </w:p>
    <w:p w14:paraId="01060F61"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6088A509" w14:textId="77777777" w:rsidR="005C4B78" w:rsidRPr="005C4B78" w:rsidRDefault="005C4B78" w:rsidP="00AC1146">
      <w:pPr>
        <w:numPr>
          <w:ilvl w:val="0"/>
          <w:numId w:val="7"/>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Aplica los estándares OHSAS 18001 para fortalecer la cultura de seguridad y la salud de sus colaboradores y promueve esta práctica en sus proveedores.</w:t>
      </w:r>
    </w:p>
    <w:p w14:paraId="75303394"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537B8A3" w14:textId="77777777" w:rsidR="005C4B78" w:rsidRPr="005C4B78" w:rsidRDefault="005C4B78" w:rsidP="00AC1146">
      <w:pPr>
        <w:numPr>
          <w:ilvl w:val="0"/>
          <w:numId w:val="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Promueve la equidad de género y la comprensión cabal de la cultura, religión, normas y valores de los grupos étnicos.</w:t>
      </w:r>
    </w:p>
    <w:p w14:paraId="55B3396D"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7AF003C" w14:textId="77777777" w:rsidR="005C4B78" w:rsidRPr="005C4B78" w:rsidRDefault="005C4B78" w:rsidP="00AC1146">
      <w:pPr>
        <w:numPr>
          <w:ilvl w:val="0"/>
          <w:numId w:val="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Suministra información desde la etapa de diseño, construcción y operación de los proyectos con respecto a los impactos y sus medidas con el fin de construir una relación positiva y mutuamente beneficiosa. </w:t>
      </w:r>
    </w:p>
    <w:p w14:paraId="6FA8DE60"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3C680E3F"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En los siguientes enlaces encontrará la información completa acerca de la declaratoria de compromiso sobre derechos humanos: </w:t>
      </w:r>
    </w:p>
    <w:p w14:paraId="7EF76D03" w14:textId="77777777" w:rsidR="005C4B78" w:rsidRPr="005C4B78" w:rsidRDefault="005C4B78" w:rsidP="005C4B78">
      <w:pPr>
        <w:spacing w:after="0" w:line="240" w:lineRule="auto"/>
        <w:rPr>
          <w:rFonts w:ascii="Tahoma" w:eastAsia="Aptos" w:hAnsi="Tahoma" w:cs="Tahoma"/>
          <w:kern w:val="0"/>
          <w:lang w:val="es-ES" w:eastAsia="es-CO"/>
          <w14:ligatures w14:val="none"/>
        </w:rPr>
      </w:pPr>
      <w:r w:rsidRPr="005C4B78">
        <w:rPr>
          <w:rFonts w:ascii="Tahoma" w:eastAsia="Times New Roman" w:hAnsi="Tahoma" w:cs="Tahoma"/>
          <w:kern w:val="0"/>
          <w:lang w:val="es-ES" w:eastAsia="es-CO"/>
          <w14:ligatures w14:val="none"/>
        </w:rPr>
        <w:br/>
      </w:r>
      <w:r w:rsidRPr="005C4B78">
        <w:rPr>
          <w:rFonts w:ascii="Tahoma" w:eastAsia="Aptos" w:hAnsi="Tahoma" w:cs="Tahoma"/>
          <w:kern w:val="0"/>
          <w:lang w:val="es-ES" w:eastAsia="es-CO"/>
          <w14:ligatures w14:val="none"/>
        </w:rPr>
        <w:t>https://www.isa.co/es/valor-sostenible/conexion-por-los-derechos-</w:t>
      </w:r>
      <w:sdt>
        <w:sdtPr>
          <w:rPr>
            <w:rFonts w:ascii="Tahoma" w:eastAsia="Aptos" w:hAnsi="Tahoma" w:cs="Tahoma"/>
            <w:kern w:val="0"/>
            <w:lang w:val="es-ES" w:eastAsia="es-CO"/>
            <w14:ligatures w14:val="none"/>
          </w:rPr>
          <w:tag w:val="goog_rdk_0"/>
          <w:id w:val="192345250"/>
          <w:showingPlcHdr/>
        </w:sdtPr>
        <w:sdtEndPr/>
        <w:sdtContent>
          <w:r w:rsidRPr="005C4B78">
            <w:rPr>
              <w:rFonts w:ascii="Tahoma" w:eastAsia="Aptos" w:hAnsi="Tahoma" w:cs="Tahoma"/>
              <w:kern w:val="0"/>
              <w:lang w:val="es-ES" w:eastAsia="es-CO"/>
              <w14:ligatures w14:val="none"/>
            </w:rPr>
            <w:t xml:space="preserve">     </w:t>
          </w:r>
        </w:sdtContent>
      </w:sdt>
      <w:r w:rsidRPr="005C4B78">
        <w:rPr>
          <w:rFonts w:ascii="Tahoma" w:eastAsia="Aptos" w:hAnsi="Tahoma" w:cs="Tahoma"/>
          <w:kern w:val="0"/>
          <w:lang w:val="es-ES" w:eastAsia="es-CO"/>
          <w14:ligatures w14:val="none"/>
        </w:rPr>
        <w:t>humanos/</w:t>
      </w:r>
    </w:p>
    <w:p w14:paraId="751DFC08" w14:textId="77777777" w:rsidR="005C4B78" w:rsidRPr="00B83A53" w:rsidRDefault="005C4B78" w:rsidP="005C4B78">
      <w:pPr>
        <w:spacing w:after="0" w:line="240" w:lineRule="auto"/>
        <w:jc w:val="both"/>
        <w:rPr>
          <w:rFonts w:ascii="Tahoma" w:eastAsia="Times New Roman" w:hAnsi="Tahoma" w:cs="Tahoma"/>
          <w:color w:val="0070C0"/>
          <w:kern w:val="0"/>
          <w:lang w:val="es-ES" w:eastAsia="es-CO"/>
          <w14:ligatures w14:val="none"/>
        </w:rPr>
      </w:pPr>
      <w:r w:rsidRPr="00B83A53">
        <w:rPr>
          <w:rFonts w:ascii="Tahoma" w:eastAsia="Aptos" w:hAnsi="Tahoma" w:cs="Tahoma"/>
          <w:color w:val="0070C0"/>
          <w:kern w:val="0"/>
          <w:lang w:val="es-ES" w:eastAsia="es-CO"/>
          <w14:ligatures w14:val="none"/>
        </w:rPr>
        <w:lastRenderedPageBreak/>
        <w:t>GRI 2-23.c </w:t>
      </w:r>
    </w:p>
    <w:p w14:paraId="1A5AA6FC" w14:textId="77777777" w:rsidR="005C4B78" w:rsidRPr="005C4B78" w:rsidRDefault="005C4B78" w:rsidP="005C4B78">
      <w:pPr>
        <w:spacing w:after="0" w:line="240" w:lineRule="auto"/>
        <w:jc w:val="both"/>
        <w:rPr>
          <w:rFonts w:ascii="Tahoma" w:eastAsia="Aptos" w:hAnsi="Tahoma" w:cs="Tahoma"/>
          <w:b/>
          <w:kern w:val="0"/>
          <w:sz w:val="36"/>
          <w:szCs w:val="36"/>
          <w:lang w:val="es-ES" w:eastAsia="es-CO"/>
          <w14:ligatures w14:val="none"/>
        </w:rPr>
      </w:pPr>
    </w:p>
    <w:p w14:paraId="22C4D090" w14:textId="77777777" w:rsidR="005C4B78" w:rsidRPr="00B83A53" w:rsidRDefault="005C4B78" w:rsidP="005C4B78">
      <w:pPr>
        <w:spacing w:after="0" w:line="240" w:lineRule="auto"/>
        <w:jc w:val="both"/>
        <w:rPr>
          <w:rFonts w:ascii="Tahoma" w:eastAsia="Times New Roman" w:hAnsi="Tahoma" w:cs="Tahoma"/>
          <w:color w:val="0070C0"/>
          <w:kern w:val="0"/>
          <w:lang w:val="es-ES" w:eastAsia="es-CO"/>
          <w14:ligatures w14:val="none"/>
        </w:rPr>
      </w:pPr>
      <w:r w:rsidRPr="00B83A53">
        <w:rPr>
          <w:rFonts w:ascii="Tahoma" w:eastAsia="Aptos" w:hAnsi="Tahoma" w:cs="Tahoma"/>
          <w:b/>
          <w:color w:val="0070C0"/>
          <w:kern w:val="0"/>
          <w:sz w:val="32"/>
          <w:szCs w:val="36"/>
          <w:lang w:val="es-ES" w:eastAsia="es-CO"/>
          <w14:ligatures w14:val="none"/>
        </w:rPr>
        <w:t>Fortalecimiento de la cultura por el respeto de los DDHH</w:t>
      </w:r>
    </w:p>
    <w:p w14:paraId="7381F4EF"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B9E5FBF"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En 2024 TRANSELCA continuó fortaleciendo la cultura del respeto de los derechos humanos enfocada en prevenir y mitigar impactos negativos en los mismos, incluidos aquellos relacionados con género, estereotipos y violencia de género. </w:t>
      </w:r>
    </w:p>
    <w:p w14:paraId="65CC0404"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EC3014A"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A través de nueve actividades realizadas durante el año, TRANSELCA amplió la cobertura y el impacto de las acciones que buscan promover la cultura por el respeto de los derechos humanos. </w:t>
      </w:r>
    </w:p>
    <w:p w14:paraId="7A156D0A"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23050DD3"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Taller en Derechos Humanos y Estereotipos de Género.</w:t>
      </w:r>
    </w:p>
    <w:p w14:paraId="13F00E6E"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Plan de trabajo del Comité de Convivencia </w:t>
      </w:r>
    </w:p>
    <w:p w14:paraId="7B663CF7"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Capacitación y socialización sobre Comité de Convivencia funciones, responsabilidades y Prevención del Acoso Laboral y Sexual en los grupos primarios.</w:t>
      </w:r>
    </w:p>
    <w:p w14:paraId="1C3DD9FA"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 "Hablemos de inclusión laboral en el día mundial internacional de las personas con discapacidad”. </w:t>
      </w:r>
    </w:p>
    <w:p w14:paraId="0BE0043F"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 sobre el respeto a los derechos humanos al personal de seguridad física.</w:t>
      </w:r>
    </w:p>
    <w:p w14:paraId="2C0F8FBF"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Taller: Acoso laboral y sexual</w:t>
      </w:r>
    </w:p>
    <w:p w14:paraId="6C0A6854"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 "Construyendo un ambiente laboral sano y respetuoso"</w:t>
      </w:r>
    </w:p>
    <w:p w14:paraId="66514577"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 sobre violencia intrafamiliar.</w:t>
      </w:r>
    </w:p>
    <w:p w14:paraId="56E2D619" w14:textId="77777777" w:rsidR="005C4B78" w:rsidRPr="005C4B78" w:rsidRDefault="005C4B78" w:rsidP="00AC1146">
      <w:pPr>
        <w:numPr>
          <w:ilvl w:val="0"/>
          <w:numId w:val="1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 "Nuestro compromiso con la vida”.</w:t>
      </w:r>
    </w:p>
    <w:p w14:paraId="573C5E30"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41F640DD"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La materialización de este propósito se refleja en la implementación progresiva de la estrategia de equidad de género e inclusión que a la fecha da como resultado un equipo humano más diverso con personal que tiene diferentes capacidades. </w:t>
      </w:r>
    </w:p>
    <w:p w14:paraId="1F232791" w14:textId="77777777" w:rsidR="005C4B78" w:rsidRPr="005C4B78" w:rsidRDefault="005C4B78" w:rsidP="005C4B78">
      <w:pPr>
        <w:spacing w:before="240" w:after="24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sz w:val="32"/>
          <w:szCs w:val="32"/>
          <w:lang w:val="es-ES" w:eastAsia="es-CO"/>
          <w14:ligatures w14:val="none"/>
        </w:rPr>
        <w:t>Canales para comunicar el compromiso de la declaratoria de los DDHH</w:t>
      </w:r>
    </w:p>
    <w:p w14:paraId="22B1B1E1" w14:textId="77777777" w:rsidR="005C4B78" w:rsidRPr="005C4B78" w:rsidRDefault="005C4B78" w:rsidP="005C4B78">
      <w:p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Los principios de Ruggie invitan a las empresas a hacer pública esta Declaratoria, así como a rendir cuentas sobre los daños que causan a los derechos humanos y las gestiones para prevenir, mitigar y/o remediar toda consecuencia negativa que hayan provocado o contribuido a provocar.</w:t>
      </w:r>
    </w:p>
    <w:p w14:paraId="1601D42A"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p>
    <w:p w14:paraId="5F35176A"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ISA y sus empresas ponen en conocimiento público su Declaratoria a través de los siguientes medios:  </w:t>
      </w:r>
    </w:p>
    <w:p w14:paraId="12D01447"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3A6A84E"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Procesos de inducción de empleados y contratistas </w:t>
      </w:r>
    </w:p>
    <w:p w14:paraId="3B93A13C"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Página Web Correo corporativo </w:t>
      </w:r>
    </w:p>
    <w:p w14:paraId="299D6007"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lastRenderedPageBreak/>
        <w:t>Diálogos con grupos de interés </w:t>
      </w:r>
    </w:p>
    <w:p w14:paraId="1579AF3B"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Cursos virtuales </w:t>
      </w:r>
    </w:p>
    <w:p w14:paraId="7844373B"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Semana Integral: conferencias sobre DDHH </w:t>
      </w:r>
    </w:p>
    <w:p w14:paraId="6C07D99A" w14:textId="77777777" w:rsidR="005C4B78" w:rsidRPr="005C4B78" w:rsidRDefault="005C4B78" w:rsidP="00AC1146">
      <w:pPr>
        <w:numPr>
          <w:ilvl w:val="0"/>
          <w:numId w:val="11"/>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Campañas de sensibilización al interior de la compañía </w:t>
      </w:r>
    </w:p>
    <w:p w14:paraId="0433DCDD" w14:textId="77777777" w:rsidR="005C4B78" w:rsidRPr="00B83A53" w:rsidRDefault="005C4B78" w:rsidP="005C4B78">
      <w:pPr>
        <w:spacing w:after="0" w:line="240" w:lineRule="auto"/>
        <w:jc w:val="both"/>
        <w:rPr>
          <w:rFonts w:ascii="Tahoma" w:eastAsia="Times New Roman" w:hAnsi="Tahoma" w:cs="Tahoma"/>
          <w:color w:val="0070C0"/>
          <w:kern w:val="0"/>
          <w:lang w:val="es-ES" w:eastAsia="es-CO"/>
          <w14:ligatures w14:val="none"/>
        </w:rPr>
      </w:pPr>
      <w:r w:rsidRPr="00B83A53">
        <w:rPr>
          <w:rFonts w:ascii="Tahoma" w:eastAsia="Aptos" w:hAnsi="Tahoma" w:cs="Tahoma"/>
          <w:b/>
          <w:color w:val="0070C0"/>
          <w:kern w:val="0"/>
          <w:lang w:val="es-ES" w:eastAsia="es-CO"/>
          <w14:ligatures w14:val="none"/>
        </w:rPr>
        <w:t>GRI 2-23.f</w:t>
      </w:r>
    </w:p>
    <w:p w14:paraId="54ACBDC3"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01F8B384" w14:textId="77777777" w:rsidR="005C4B78" w:rsidRPr="005C4B78" w:rsidRDefault="005C4B78" w:rsidP="005C4B78">
      <w:pPr>
        <w:spacing w:after="0" w:line="240" w:lineRule="auto"/>
        <w:jc w:val="both"/>
        <w:rPr>
          <w:rFonts w:ascii="Tahoma" w:eastAsia="Times New Roman" w:hAnsi="Tahoma" w:cs="Tahoma"/>
          <w:kern w:val="0"/>
          <w:sz w:val="22"/>
          <w:lang w:val="es-ES" w:eastAsia="es-CO"/>
          <w14:ligatures w14:val="none"/>
        </w:rPr>
      </w:pPr>
      <w:r w:rsidRPr="005C4B78">
        <w:rPr>
          <w:rFonts w:ascii="Tahoma" w:eastAsia="Aptos" w:hAnsi="Tahoma" w:cs="Tahoma"/>
          <w:b/>
          <w:kern w:val="0"/>
          <w:sz w:val="32"/>
          <w:szCs w:val="36"/>
          <w:lang w:val="es-ES" w:eastAsia="es-CO"/>
          <w14:ligatures w14:val="none"/>
        </w:rPr>
        <w:t>Metas y objetivos alcanzados</w:t>
      </w:r>
    </w:p>
    <w:p w14:paraId="3D0B81FB"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7D864868"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 xml:space="preserve">TRANSELCA se propuso obtener el </w:t>
      </w:r>
      <w:r w:rsidRPr="005C4B78">
        <w:rPr>
          <w:rFonts w:ascii="Tahoma" w:eastAsia="Aptos" w:hAnsi="Tahoma" w:cs="Tahoma"/>
          <w:b/>
          <w:kern w:val="0"/>
          <w:lang w:val="es-ES" w:eastAsia="es-CO"/>
          <w14:ligatures w14:val="none"/>
        </w:rPr>
        <w:t>Sello Oro Equipares</w:t>
      </w:r>
      <w:r w:rsidRPr="005C4B78">
        <w:rPr>
          <w:rFonts w:ascii="Tahoma" w:eastAsia="Aptos" w:hAnsi="Tahoma" w:cs="Tahoma"/>
          <w:kern w:val="0"/>
          <w:lang w:val="es-ES" w:eastAsia="es-CO"/>
          <w14:ligatures w14:val="none"/>
        </w:rPr>
        <w:t xml:space="preserve"> y logró este reconocimiento por su</w:t>
      </w:r>
      <w:r w:rsidRPr="005C4B78">
        <w:rPr>
          <w:rFonts w:ascii="Tahoma" w:eastAsia="Arial" w:hAnsi="Tahoma" w:cs="Tahoma"/>
          <w:kern w:val="0"/>
          <w:lang w:val="es-ES" w:eastAsia="es-CO"/>
          <w14:ligatures w14:val="none"/>
        </w:rPr>
        <w:t xml:space="preserve"> compromiso con la igualdad de género y la creación de entornos de trabajo inclusivos y equitativos.</w:t>
      </w:r>
    </w:p>
    <w:p w14:paraId="2394C6E7"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1D9F4ED5"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El Sello Equipares es un programa de certificación que busca transformar la cultura de las organizaciones para que las mujeres puedan ingresar al mercado laboral en igualdad de condiciones que los hombres. </w:t>
      </w:r>
    </w:p>
    <w:p w14:paraId="039FFCBA"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p>
    <w:p w14:paraId="2BAF19A7"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 xml:space="preserve">El sello es </w:t>
      </w:r>
      <w:r w:rsidRPr="005C4B78">
        <w:rPr>
          <w:rFonts w:ascii="Tahoma" w:eastAsia="Arial" w:hAnsi="Tahoma" w:cs="Tahoma"/>
          <w:kern w:val="0"/>
          <w:lang w:val="es-ES" w:eastAsia="es-CO"/>
          <w14:ligatures w14:val="none"/>
        </w:rPr>
        <w:t xml:space="preserve">otorgado por el Ministerio del Trabajo con el apoyo técnico del Programa de Naciones Unidas para el Desarrollo (PNUD) </w:t>
      </w:r>
      <w:r w:rsidRPr="005C4B78">
        <w:rPr>
          <w:rFonts w:ascii="Tahoma" w:eastAsia="Aptos" w:hAnsi="Tahoma" w:cs="Tahoma"/>
          <w:kern w:val="0"/>
          <w:lang w:val="es-ES" w:eastAsia="es-CO"/>
          <w14:ligatures w14:val="none"/>
        </w:rPr>
        <w:t>y la Consejería Presidencial para la Equidad de la Mujer. S</w:t>
      </w:r>
      <w:r w:rsidRPr="005C4B78">
        <w:rPr>
          <w:rFonts w:ascii="Tahoma" w:eastAsia="Arial" w:hAnsi="Tahoma" w:cs="Tahoma"/>
          <w:kern w:val="0"/>
          <w:lang w:val="es-ES" w:eastAsia="es-CO"/>
          <w14:ligatures w14:val="none"/>
        </w:rPr>
        <w:t>us requisitos son:</w:t>
      </w:r>
    </w:p>
    <w:p w14:paraId="7777EA57"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4E66012B" w14:textId="77777777" w:rsidR="005C4B78" w:rsidRPr="005C4B78" w:rsidRDefault="005C4B78" w:rsidP="00AC1146">
      <w:pPr>
        <w:numPr>
          <w:ilvl w:val="0"/>
          <w:numId w:val="12"/>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Realizar un diagnóstico organizacional</w:t>
      </w:r>
    </w:p>
    <w:p w14:paraId="3A47A850" w14:textId="77777777" w:rsidR="005C4B78" w:rsidRPr="005C4B78" w:rsidRDefault="005C4B78" w:rsidP="00AC1146">
      <w:pPr>
        <w:numPr>
          <w:ilvl w:val="0"/>
          <w:numId w:val="12"/>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Elaborar una política de equidad laboral con enfoque de género</w:t>
      </w:r>
    </w:p>
    <w:p w14:paraId="6A10C8CC" w14:textId="77777777" w:rsidR="005C4B78" w:rsidRPr="005C4B78" w:rsidRDefault="005C4B78" w:rsidP="00AC1146">
      <w:pPr>
        <w:numPr>
          <w:ilvl w:val="0"/>
          <w:numId w:val="12"/>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Implementar un plan de acción para cerrar las brechas de género </w:t>
      </w:r>
    </w:p>
    <w:p w14:paraId="20F41BBE"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p>
    <w:p w14:paraId="4FD91580"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r w:rsidRPr="005C4B78">
        <w:rPr>
          <w:rFonts w:ascii="Tahoma" w:eastAsia="Arial" w:hAnsi="Tahoma" w:cs="Tahoma"/>
          <w:b/>
          <w:kern w:val="0"/>
          <w:sz w:val="28"/>
          <w:szCs w:val="32"/>
          <w:lang w:val="es-ES" w:eastAsia="es-CO"/>
          <w14:ligatures w14:val="none"/>
        </w:rPr>
        <w:t>Esta certificación significa para TRANSELCA:</w:t>
      </w:r>
    </w:p>
    <w:p w14:paraId="561AA24B"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r w:rsidRPr="005C4B78">
        <w:rPr>
          <w:rFonts w:ascii="Tahoma" w:eastAsia="Arial" w:hAnsi="Tahoma" w:cs="Tahoma"/>
          <w:kern w:val="0"/>
          <w:lang w:val="es-ES" w:eastAsia="es-CO"/>
          <w14:ligatures w14:val="none"/>
        </w:rPr>
        <w:t> </w:t>
      </w:r>
    </w:p>
    <w:p w14:paraId="56D10C6F" w14:textId="77777777" w:rsidR="005C4B78" w:rsidRPr="005C4B78" w:rsidRDefault="005C4B78" w:rsidP="00AC1146">
      <w:pPr>
        <w:numPr>
          <w:ilvl w:val="0"/>
          <w:numId w:val="21"/>
        </w:numPr>
        <w:pBdr>
          <w:top w:val="nil"/>
          <w:left w:val="nil"/>
          <w:bottom w:val="nil"/>
          <w:right w:val="nil"/>
          <w:between w:val="nil"/>
        </w:pBdr>
        <w:shd w:val="clear" w:color="auto" w:fill="FFFFFF"/>
        <w:spacing w:after="0" w:line="240" w:lineRule="auto"/>
        <w:jc w:val="both"/>
        <w:rPr>
          <w:rFonts w:ascii="Tahoma" w:eastAsia="Arial" w:hAnsi="Tahoma" w:cs="Tahoma"/>
          <w:kern w:val="0"/>
          <w:lang w:val="es-ES" w:eastAsia="es-CO"/>
          <w14:ligatures w14:val="none"/>
        </w:rPr>
      </w:pPr>
      <w:r w:rsidRPr="005C4B78">
        <w:rPr>
          <w:rFonts w:ascii="Tahoma" w:eastAsia="Arial" w:hAnsi="Tahoma" w:cs="Tahoma"/>
          <w:b/>
          <w:kern w:val="0"/>
          <w:lang w:val="es-ES" w:eastAsia="es-CO"/>
          <w14:ligatures w14:val="none"/>
        </w:rPr>
        <w:t>Compromiso con la igualdad</w:t>
      </w:r>
      <w:r w:rsidRPr="005C4B78">
        <w:rPr>
          <w:rFonts w:ascii="Tahoma" w:eastAsia="Arial" w:hAnsi="Tahoma" w:cs="Tahoma"/>
          <w:kern w:val="0"/>
          <w:lang w:val="es-ES" w:eastAsia="es-CO"/>
          <w14:ligatures w14:val="none"/>
        </w:rPr>
        <w:t>: certifica que se han implementado políticas y prácticas que promueven la igualdad de género en todos los niveles de la organización.</w:t>
      </w:r>
    </w:p>
    <w:p w14:paraId="2CD6DB76" w14:textId="77777777" w:rsidR="005C4B78" w:rsidRPr="005C4B78" w:rsidRDefault="005C4B78" w:rsidP="005C4B78">
      <w:pPr>
        <w:shd w:val="clear" w:color="auto" w:fill="FFFFFF"/>
        <w:spacing w:after="0" w:line="240" w:lineRule="auto"/>
        <w:ind w:left="720" w:firstLine="70"/>
        <w:jc w:val="both"/>
        <w:rPr>
          <w:rFonts w:ascii="Tahoma" w:eastAsia="Times New Roman" w:hAnsi="Tahoma" w:cs="Tahoma"/>
          <w:kern w:val="0"/>
          <w:lang w:val="es-ES" w:eastAsia="es-CO"/>
          <w14:ligatures w14:val="none"/>
        </w:rPr>
      </w:pPr>
    </w:p>
    <w:p w14:paraId="49AE0F3D" w14:textId="77777777" w:rsidR="005C4B78" w:rsidRPr="005C4B78" w:rsidRDefault="005C4B78" w:rsidP="00AC1146">
      <w:pPr>
        <w:numPr>
          <w:ilvl w:val="0"/>
          <w:numId w:val="21"/>
        </w:numPr>
        <w:pBdr>
          <w:top w:val="nil"/>
          <w:left w:val="nil"/>
          <w:bottom w:val="nil"/>
          <w:right w:val="nil"/>
          <w:between w:val="nil"/>
        </w:pBdr>
        <w:shd w:val="clear" w:color="auto" w:fill="FFFFFF"/>
        <w:spacing w:after="0" w:line="240" w:lineRule="auto"/>
        <w:jc w:val="both"/>
        <w:rPr>
          <w:rFonts w:ascii="Tahoma" w:eastAsia="Arial" w:hAnsi="Tahoma" w:cs="Tahoma"/>
          <w:kern w:val="0"/>
          <w:lang w:val="es-ES" w:eastAsia="es-CO"/>
          <w14:ligatures w14:val="none"/>
        </w:rPr>
      </w:pPr>
      <w:r w:rsidRPr="005C4B78">
        <w:rPr>
          <w:rFonts w:ascii="Tahoma" w:eastAsia="Arial" w:hAnsi="Tahoma" w:cs="Tahoma"/>
          <w:b/>
          <w:kern w:val="0"/>
          <w:lang w:val="es-ES" w:eastAsia="es-CO"/>
          <w14:ligatures w14:val="none"/>
        </w:rPr>
        <w:t>Ambiente inclusivo</w:t>
      </w:r>
      <w:r w:rsidRPr="005C4B78">
        <w:rPr>
          <w:rFonts w:ascii="Tahoma" w:eastAsia="Arial" w:hAnsi="Tahoma" w:cs="Tahoma"/>
          <w:kern w:val="0"/>
          <w:lang w:val="es-ES" w:eastAsia="es-CO"/>
          <w14:ligatures w14:val="none"/>
        </w:rPr>
        <w:t>: creación de espacios para que sus colaboradores se sientan valorados y respetados, independientemente de su género.</w:t>
      </w:r>
    </w:p>
    <w:p w14:paraId="358B7B0A" w14:textId="77777777" w:rsidR="005C4B78" w:rsidRPr="005C4B78" w:rsidRDefault="005C4B78" w:rsidP="005C4B78">
      <w:pPr>
        <w:shd w:val="clear" w:color="auto" w:fill="FFFFFF"/>
        <w:spacing w:after="0" w:line="240" w:lineRule="auto"/>
        <w:ind w:firstLine="70"/>
        <w:jc w:val="both"/>
        <w:rPr>
          <w:rFonts w:ascii="Tahoma" w:eastAsia="Times New Roman" w:hAnsi="Tahoma" w:cs="Tahoma"/>
          <w:kern w:val="0"/>
          <w:lang w:val="es-ES" w:eastAsia="es-CO"/>
          <w14:ligatures w14:val="none"/>
        </w:rPr>
      </w:pPr>
    </w:p>
    <w:p w14:paraId="42FC0D58" w14:textId="77777777" w:rsidR="005C4B78" w:rsidRPr="005C4B78" w:rsidRDefault="005C4B78" w:rsidP="00AC1146">
      <w:pPr>
        <w:numPr>
          <w:ilvl w:val="0"/>
          <w:numId w:val="21"/>
        </w:numPr>
        <w:pBdr>
          <w:top w:val="nil"/>
          <w:left w:val="nil"/>
          <w:bottom w:val="nil"/>
          <w:right w:val="nil"/>
          <w:between w:val="nil"/>
        </w:pBdr>
        <w:shd w:val="clear" w:color="auto" w:fill="FFFFFF"/>
        <w:spacing w:after="0" w:line="240" w:lineRule="auto"/>
        <w:jc w:val="both"/>
        <w:rPr>
          <w:rFonts w:ascii="Tahoma" w:eastAsia="Arial" w:hAnsi="Tahoma" w:cs="Tahoma"/>
          <w:kern w:val="0"/>
          <w:lang w:val="es-ES" w:eastAsia="es-CO"/>
          <w14:ligatures w14:val="none"/>
        </w:rPr>
      </w:pPr>
      <w:r w:rsidRPr="005C4B78">
        <w:rPr>
          <w:rFonts w:ascii="Tahoma" w:eastAsia="Arial" w:hAnsi="Tahoma" w:cs="Tahoma"/>
          <w:b/>
          <w:kern w:val="0"/>
          <w:lang w:val="es-ES" w:eastAsia="es-CO"/>
          <w14:ligatures w14:val="none"/>
        </w:rPr>
        <w:t>Oportunidades equitativas</w:t>
      </w:r>
      <w:r w:rsidRPr="005C4B78">
        <w:rPr>
          <w:rFonts w:ascii="Tahoma" w:eastAsia="Arial" w:hAnsi="Tahoma" w:cs="Tahoma"/>
          <w:kern w:val="0"/>
          <w:lang w:val="es-ES" w:eastAsia="es-CO"/>
          <w14:ligatures w14:val="none"/>
        </w:rPr>
        <w:t>: TRANSELCA garantiza que todo su equipo humano tenga las mismas oportunidades de desarrollo y crecimiento profesional.</w:t>
      </w:r>
    </w:p>
    <w:p w14:paraId="5A98B339" w14:textId="77777777" w:rsidR="005C4B78" w:rsidRPr="005C4B78" w:rsidRDefault="005C4B78" w:rsidP="005C4B78">
      <w:pPr>
        <w:shd w:val="clear" w:color="auto" w:fill="FFFFFF"/>
        <w:spacing w:after="0" w:line="240" w:lineRule="auto"/>
        <w:ind w:firstLine="70"/>
        <w:jc w:val="both"/>
        <w:rPr>
          <w:rFonts w:ascii="Tahoma" w:eastAsia="Times New Roman" w:hAnsi="Tahoma" w:cs="Tahoma"/>
          <w:kern w:val="0"/>
          <w:lang w:val="es-ES" w:eastAsia="es-CO"/>
          <w14:ligatures w14:val="none"/>
        </w:rPr>
      </w:pPr>
    </w:p>
    <w:p w14:paraId="2F206BC6" w14:textId="77777777" w:rsidR="005C4B78" w:rsidRPr="005C4B78" w:rsidRDefault="005C4B78" w:rsidP="00AC1146">
      <w:pPr>
        <w:numPr>
          <w:ilvl w:val="0"/>
          <w:numId w:val="21"/>
        </w:numPr>
        <w:pBdr>
          <w:top w:val="nil"/>
          <w:left w:val="nil"/>
          <w:bottom w:val="nil"/>
          <w:right w:val="nil"/>
          <w:between w:val="nil"/>
        </w:pBdr>
        <w:shd w:val="clear" w:color="auto" w:fill="FFFFFF"/>
        <w:spacing w:after="0" w:line="240" w:lineRule="auto"/>
        <w:jc w:val="both"/>
        <w:rPr>
          <w:rFonts w:ascii="Tahoma" w:eastAsia="Arial" w:hAnsi="Tahoma" w:cs="Tahoma"/>
          <w:kern w:val="0"/>
          <w:lang w:val="es-ES" w:eastAsia="es-CO"/>
          <w14:ligatures w14:val="none"/>
        </w:rPr>
      </w:pPr>
      <w:r w:rsidRPr="005C4B78">
        <w:rPr>
          <w:rFonts w:ascii="Tahoma" w:eastAsia="Arial" w:hAnsi="Tahoma" w:cs="Tahoma"/>
          <w:b/>
          <w:kern w:val="0"/>
          <w:lang w:val="es-ES" w:eastAsia="es-CO"/>
          <w14:ligatures w14:val="none"/>
        </w:rPr>
        <w:t>Cultura de respeto</w:t>
      </w:r>
      <w:r w:rsidRPr="005C4B78">
        <w:rPr>
          <w:rFonts w:ascii="Tahoma" w:eastAsia="Arial" w:hAnsi="Tahoma" w:cs="Tahoma"/>
          <w:kern w:val="0"/>
          <w:lang w:val="es-ES" w:eastAsia="es-CO"/>
          <w14:ligatures w14:val="none"/>
        </w:rPr>
        <w:t>: se fomenta una cultura organizacional basada en el respeto mutuo y la colaboración.</w:t>
      </w:r>
    </w:p>
    <w:p w14:paraId="09D34B26" w14:textId="77777777" w:rsidR="005C4B78" w:rsidRPr="005C4B78" w:rsidRDefault="005C4B78" w:rsidP="005C4B78">
      <w:pPr>
        <w:shd w:val="clear" w:color="auto" w:fill="FFFFFF"/>
        <w:spacing w:after="0" w:line="240" w:lineRule="auto"/>
        <w:jc w:val="both"/>
        <w:rPr>
          <w:rFonts w:ascii="Tahoma" w:eastAsia="Times New Roman" w:hAnsi="Tahoma" w:cs="Tahoma"/>
          <w:kern w:val="0"/>
          <w:lang w:val="es-ES" w:eastAsia="es-CO"/>
          <w14:ligatures w14:val="none"/>
        </w:rPr>
      </w:pPr>
      <w:r w:rsidRPr="005C4B78">
        <w:rPr>
          <w:rFonts w:ascii="Tahoma" w:eastAsia="Arial" w:hAnsi="Tahoma" w:cs="Tahoma"/>
          <w:kern w:val="0"/>
          <w:lang w:val="es-ES" w:eastAsia="es-CO"/>
          <w14:ligatures w14:val="none"/>
        </w:rPr>
        <w:t> </w:t>
      </w:r>
    </w:p>
    <w:p w14:paraId="09F69779" w14:textId="77777777" w:rsidR="005C4B78" w:rsidRPr="005C4B78" w:rsidRDefault="005C4B78" w:rsidP="005C4B78">
      <w:pPr>
        <w:spacing w:after="0" w:line="240" w:lineRule="auto"/>
        <w:jc w:val="both"/>
        <w:rPr>
          <w:rFonts w:ascii="Tahoma" w:eastAsia="Times New Roman" w:hAnsi="Tahoma" w:cs="Tahoma"/>
          <w:kern w:val="0"/>
          <w:sz w:val="22"/>
          <w:lang w:val="es-ES" w:eastAsia="es-CO"/>
          <w14:ligatures w14:val="none"/>
        </w:rPr>
      </w:pPr>
      <w:r w:rsidRPr="005C4B78">
        <w:rPr>
          <w:rFonts w:ascii="Tahoma" w:eastAsia="Aptos" w:hAnsi="Tahoma" w:cs="Tahoma"/>
          <w:b/>
          <w:kern w:val="0"/>
          <w:sz w:val="32"/>
          <w:szCs w:val="36"/>
          <w:lang w:val="es-ES" w:eastAsia="es-CO"/>
          <w14:ligatures w14:val="none"/>
        </w:rPr>
        <w:t>Oportunidades para fortalecer la cultura de respeto por los DDHH</w:t>
      </w:r>
    </w:p>
    <w:p w14:paraId="541DA5F1"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1073F61B" w14:textId="77777777" w:rsidR="005C4B78" w:rsidRPr="005C4B78" w:rsidRDefault="005C4B78" w:rsidP="005C4B78">
      <w:p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 xml:space="preserve">TRANSELCA identifica las oportunidades que le permiten alcanzar los objetivos para reducir la desigualdad y mejorar la calidad de vida de su entorno. </w:t>
      </w:r>
    </w:p>
    <w:p w14:paraId="4BB51E55" w14:textId="77777777" w:rsidR="005C4B78" w:rsidRPr="005C4B78" w:rsidRDefault="005C4B78" w:rsidP="005C4B78">
      <w:pPr>
        <w:spacing w:after="0" w:line="240" w:lineRule="auto"/>
        <w:jc w:val="both"/>
        <w:rPr>
          <w:rFonts w:ascii="Tahoma" w:eastAsia="Aptos" w:hAnsi="Tahoma" w:cs="Tahoma"/>
          <w:kern w:val="0"/>
          <w:lang w:val="es-ES" w:eastAsia="es-CO"/>
          <w14:ligatures w14:val="none"/>
        </w:rPr>
      </w:pPr>
    </w:p>
    <w:p w14:paraId="7E598961"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Para lograrlo, llevó a cabo las siguientes acciones:</w:t>
      </w:r>
    </w:p>
    <w:p w14:paraId="4BF83AA9"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Times New Roman" w:hAnsi="Tahoma" w:cs="Tahoma"/>
          <w:kern w:val="0"/>
          <w:lang w:val="es-ES" w:eastAsia="es-CO"/>
          <w14:ligatures w14:val="none"/>
        </w:rPr>
        <w:br/>
      </w:r>
    </w:p>
    <w:p w14:paraId="0CEF38F1" w14:textId="77777777" w:rsidR="005C4B78" w:rsidRPr="005C4B78" w:rsidRDefault="005C4B78" w:rsidP="00AC1146">
      <w:pPr>
        <w:numPr>
          <w:ilvl w:val="0"/>
          <w:numId w:val="13"/>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Incluir, en las inducciones a los nuevos talentos, una formación sobre acoso laboral y sexual, y los mecanismos que tiene la empresa para prevenir y denunciar. </w:t>
      </w:r>
    </w:p>
    <w:p w14:paraId="50683D55" w14:textId="77777777" w:rsidR="005C4B78" w:rsidRPr="005C4B78" w:rsidRDefault="005C4B78" w:rsidP="00AC1146">
      <w:pPr>
        <w:numPr>
          <w:ilvl w:val="0"/>
          <w:numId w:val="13"/>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Conocer a profundidad las funciones del Comité de Convivencia, quiénes lo conforman y el flujograma de denuncia. </w:t>
      </w:r>
    </w:p>
    <w:p w14:paraId="4A05C02B" w14:textId="77777777" w:rsidR="005C4B78" w:rsidRPr="005C4B78" w:rsidRDefault="005C4B78" w:rsidP="00AC1146">
      <w:pPr>
        <w:numPr>
          <w:ilvl w:val="0"/>
          <w:numId w:val="13"/>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Seleccionar, de manera exhaustiva, los miembros del comité que representan la empresa y capacitarlos.</w:t>
      </w:r>
    </w:p>
    <w:p w14:paraId="59AA06BD" w14:textId="77777777" w:rsidR="005C4B78" w:rsidRPr="005C4B78" w:rsidRDefault="005C4B78" w:rsidP="00AC1146">
      <w:pPr>
        <w:numPr>
          <w:ilvl w:val="0"/>
          <w:numId w:val="13"/>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Realizar charlas de derechos humanos y temas afines para los colaboradores de la compañía.</w:t>
      </w:r>
    </w:p>
    <w:p w14:paraId="6AD167AF" w14:textId="77777777" w:rsidR="005C4B78" w:rsidRPr="005C4B78" w:rsidRDefault="005C4B78" w:rsidP="005C4B78">
      <w:p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 </w:t>
      </w:r>
    </w:p>
    <w:p w14:paraId="7E839B68" w14:textId="77777777" w:rsidR="005C4B78" w:rsidRPr="005C4B78" w:rsidRDefault="005C4B78" w:rsidP="005C4B78">
      <w:pPr>
        <w:spacing w:after="0" w:line="240" w:lineRule="auto"/>
        <w:jc w:val="both"/>
        <w:rPr>
          <w:rFonts w:ascii="Tahoma" w:eastAsia="Aptos" w:hAnsi="Tahoma" w:cs="Tahoma"/>
          <w:b/>
          <w:kern w:val="0"/>
          <w:sz w:val="32"/>
          <w:szCs w:val="36"/>
          <w:lang w:val="es-ES" w:eastAsia="es-CO"/>
          <w14:ligatures w14:val="none"/>
        </w:rPr>
      </w:pPr>
      <w:r w:rsidRPr="005C4B78">
        <w:rPr>
          <w:rFonts w:ascii="Tahoma" w:eastAsia="Aptos" w:hAnsi="Tahoma" w:cs="Tahoma"/>
          <w:b/>
          <w:kern w:val="0"/>
          <w:sz w:val="32"/>
          <w:szCs w:val="36"/>
          <w:lang w:val="es-ES" w:eastAsia="es-CO"/>
          <w14:ligatures w14:val="none"/>
        </w:rPr>
        <w:t>Innovaciones para fortalecer la cultura de  respeto a los DDHH</w:t>
      </w:r>
    </w:p>
    <w:p w14:paraId="19EDE822" w14:textId="77777777" w:rsidR="005C4B78" w:rsidRPr="005C4B78" w:rsidRDefault="005C4B78" w:rsidP="005C4B78">
      <w:pPr>
        <w:spacing w:after="0" w:line="240" w:lineRule="auto"/>
        <w:ind w:left="720"/>
        <w:jc w:val="both"/>
        <w:rPr>
          <w:rFonts w:ascii="Tahoma" w:eastAsia="Aptos" w:hAnsi="Tahoma" w:cs="Tahoma"/>
          <w:kern w:val="0"/>
          <w:lang w:val="es-ES" w:eastAsia="es-CO"/>
          <w14:ligatures w14:val="none"/>
        </w:rPr>
      </w:pPr>
    </w:p>
    <w:p w14:paraId="56EF23DC" w14:textId="77777777" w:rsidR="005C4B78" w:rsidRPr="005C4B78" w:rsidRDefault="005C4B78" w:rsidP="00AC1146">
      <w:pPr>
        <w:numPr>
          <w:ilvl w:val="0"/>
          <w:numId w:val="14"/>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Divulgaciones internas sobre los procedimientos, videos explicativos y enlaces con información alusiva a los DDHH.</w:t>
      </w:r>
    </w:p>
    <w:p w14:paraId="2F3FA203" w14:textId="77777777" w:rsidR="005C4B78" w:rsidRPr="005C4B78" w:rsidRDefault="005C4B78" w:rsidP="005C4B78">
      <w:pPr>
        <w:spacing w:after="0" w:line="240" w:lineRule="auto"/>
        <w:ind w:left="720"/>
        <w:jc w:val="both"/>
        <w:rPr>
          <w:rFonts w:ascii="Tahoma" w:eastAsia="Aptos" w:hAnsi="Tahoma" w:cs="Tahoma"/>
          <w:kern w:val="0"/>
          <w:lang w:val="es-ES" w:eastAsia="es-CO"/>
          <w14:ligatures w14:val="none"/>
        </w:rPr>
      </w:pPr>
    </w:p>
    <w:p w14:paraId="373726EE" w14:textId="77777777" w:rsidR="005C4B78" w:rsidRPr="005C4B78" w:rsidRDefault="005C4B78" w:rsidP="00AC1146">
      <w:pPr>
        <w:numPr>
          <w:ilvl w:val="0"/>
          <w:numId w:val="14"/>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Diseño de la página principal donde está la información relacionada con el Comité de Convivencia Laboral (CCL) para tener mayor visibilidad de sus integrantes, las fases del flujograma de denuncias, procedimientos y diferentes temas afines que impulsan al Comité. </w:t>
      </w:r>
    </w:p>
    <w:p w14:paraId="59DD4A22"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1971D3BE"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Nota:</w:t>
      </w:r>
      <w:r w:rsidRPr="005C4B78">
        <w:rPr>
          <w:rFonts w:ascii="Tahoma" w:eastAsia="Aptos" w:hAnsi="Tahoma" w:cs="Tahoma"/>
          <w:kern w:val="0"/>
          <w:lang w:val="es-ES" w:eastAsia="es-CO"/>
          <w14:ligatures w14:val="none"/>
        </w:rPr>
        <w:t xml:space="preserve"> Durante el 2024 no se presentaron impactos negativos en las operaciones realizadas por TRANSELCA.</w:t>
      </w:r>
    </w:p>
    <w:p w14:paraId="3ED4EE40" w14:textId="77777777" w:rsidR="005C4B78" w:rsidRPr="005C4B78" w:rsidRDefault="005C4B78" w:rsidP="005C4B78">
      <w:pPr>
        <w:spacing w:before="240" w:after="24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sz w:val="32"/>
          <w:szCs w:val="36"/>
          <w:lang w:val="es-ES" w:eastAsia="es-CO"/>
          <w14:ligatures w14:val="none"/>
        </w:rPr>
        <w:t>Herramientas de TRANSELCA para fomentar la cultura del respeto a los DDHH</w:t>
      </w:r>
    </w:p>
    <w:p w14:paraId="09C4D902" w14:textId="77777777" w:rsidR="005C4B78" w:rsidRPr="005C4B78" w:rsidRDefault="005C4B78" w:rsidP="00AC1146">
      <w:pPr>
        <w:numPr>
          <w:ilvl w:val="0"/>
          <w:numId w:val="15"/>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Código de ética y conducta</w:t>
      </w:r>
    </w:p>
    <w:p w14:paraId="5FC5C757" w14:textId="77777777" w:rsidR="005C4B78" w:rsidRPr="005C4B78" w:rsidRDefault="005C4B78" w:rsidP="00AC1146">
      <w:pPr>
        <w:numPr>
          <w:ilvl w:val="0"/>
          <w:numId w:val="15"/>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Directriz Corporativa 48 que promulga el respeto y la promoción de los Derechos Humanos </w:t>
      </w:r>
    </w:p>
    <w:p w14:paraId="417D357D" w14:textId="77777777" w:rsidR="005C4B78" w:rsidRPr="005C4B78" w:rsidRDefault="005C4B78" w:rsidP="00AC1146">
      <w:pPr>
        <w:numPr>
          <w:ilvl w:val="0"/>
          <w:numId w:val="15"/>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Declaratoria de compromiso con los derechos humanos de ISA y sus empresas, donde la organización se compromete a alinear progresivamente buenas prácticas creando instrumentos propios como políticas, guías, lineamientos y declaraciones para facilitar su implementación. </w:t>
      </w:r>
    </w:p>
    <w:p w14:paraId="7B79D0ED" w14:textId="77777777" w:rsidR="005C4B78" w:rsidRPr="005C4B78" w:rsidRDefault="005C4B78" w:rsidP="00AC1146">
      <w:pPr>
        <w:numPr>
          <w:ilvl w:val="0"/>
          <w:numId w:val="15"/>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Código de ética y conducta</w:t>
      </w:r>
    </w:p>
    <w:p w14:paraId="0B51101C" w14:textId="77777777" w:rsidR="005C4B78" w:rsidRPr="00B83A53" w:rsidRDefault="005C4B78" w:rsidP="005C4B78">
      <w:pPr>
        <w:spacing w:after="0" w:line="240" w:lineRule="auto"/>
        <w:jc w:val="both"/>
        <w:rPr>
          <w:rFonts w:ascii="Tahoma" w:eastAsia="Times New Roman" w:hAnsi="Tahoma" w:cs="Tahoma"/>
          <w:color w:val="0070C0"/>
          <w:kern w:val="0"/>
          <w:lang w:val="es-ES" w:eastAsia="es-CO"/>
          <w14:ligatures w14:val="none"/>
        </w:rPr>
      </w:pPr>
      <w:r w:rsidRPr="00B83A53">
        <w:rPr>
          <w:rFonts w:ascii="Tahoma" w:eastAsia="Aptos" w:hAnsi="Tahoma" w:cs="Tahoma"/>
          <w:b/>
          <w:color w:val="0070C0"/>
          <w:kern w:val="0"/>
          <w:lang w:val="es-ES" w:eastAsia="es-CO"/>
          <w14:ligatures w14:val="none"/>
        </w:rPr>
        <w:t>GRI 2-23.a.i</w:t>
      </w:r>
    </w:p>
    <w:p w14:paraId="3FE3A6F6"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1B890C54" w14:textId="77777777" w:rsidR="005C4B78" w:rsidRPr="005C4B78" w:rsidRDefault="005C4B78" w:rsidP="005C4B78">
      <w:pPr>
        <w:spacing w:before="240" w:after="24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sz w:val="32"/>
          <w:szCs w:val="32"/>
          <w:lang w:val="es-ES" w:eastAsia="es-CO"/>
          <w14:ligatures w14:val="none"/>
        </w:rPr>
        <w:t>Personal de seguridad capacitado en DDHH</w:t>
      </w:r>
    </w:p>
    <w:tbl>
      <w:tblPr>
        <w:tblW w:w="8354" w:type="dxa"/>
        <w:tblLayout w:type="fixed"/>
        <w:tblLook w:val="0400" w:firstRow="0" w:lastRow="0" w:firstColumn="0" w:lastColumn="0" w:noHBand="0" w:noVBand="1"/>
      </w:tblPr>
      <w:tblGrid>
        <w:gridCol w:w="5377"/>
        <w:gridCol w:w="992"/>
        <w:gridCol w:w="992"/>
        <w:gridCol w:w="993"/>
      </w:tblGrid>
      <w:tr w:rsidR="005C4B78" w:rsidRPr="005C4B78" w14:paraId="58046721" w14:textId="77777777" w:rsidTr="00955EFE">
        <w:tc>
          <w:tcPr>
            <w:tcW w:w="5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AA7A3"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lastRenderedPageBreak/>
              <w:t>Personal capacitado</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E1019"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2022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EC80E5"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2023</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19CE18"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2024</w:t>
            </w:r>
          </w:p>
        </w:tc>
      </w:tr>
      <w:tr w:rsidR="005C4B78" w:rsidRPr="005C4B78" w14:paraId="08699E98" w14:textId="77777777" w:rsidTr="00955EFE">
        <w:tc>
          <w:tcPr>
            <w:tcW w:w="5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532EE"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Roboto" w:hAnsi="Tahoma" w:cs="Tahoma"/>
                <w:kern w:val="0"/>
                <w:sz w:val="18"/>
                <w:szCs w:val="18"/>
                <w:lang w:val="es-ES" w:eastAsia="es-CO"/>
                <w14:ligatures w14:val="none"/>
              </w:rPr>
              <w:t>Número de personas que hacen parte de personal de seguridad de empresa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AFBB6A"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B59B04"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08A333"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6</w:t>
            </w:r>
          </w:p>
        </w:tc>
      </w:tr>
      <w:tr w:rsidR="005C4B78" w:rsidRPr="005C4B78" w14:paraId="72DE7178" w14:textId="77777777" w:rsidTr="00955EFE">
        <w:tc>
          <w:tcPr>
            <w:tcW w:w="5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F5D022"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Roboto" w:hAnsi="Tahoma" w:cs="Tahoma"/>
                <w:kern w:val="0"/>
                <w:sz w:val="18"/>
                <w:szCs w:val="18"/>
                <w:lang w:val="es-ES" w:eastAsia="es-CO"/>
                <w14:ligatures w14:val="none"/>
              </w:rPr>
              <w:t>Número de personas que hacen parte de personal de seguridad de la empresa que haya recibido formación formal</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E9AEB"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C9F8CC"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2</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5A7244" w14:textId="77777777" w:rsidR="005C4B78" w:rsidRPr="005C4B78" w:rsidRDefault="005C4B78" w:rsidP="005C4B78">
            <w:pPr>
              <w:spacing w:after="0" w:line="240" w:lineRule="auto"/>
              <w:jc w:val="center"/>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6</w:t>
            </w:r>
          </w:p>
        </w:tc>
      </w:tr>
      <w:tr w:rsidR="005C4B78" w:rsidRPr="005C4B78" w14:paraId="7F4986CC" w14:textId="77777777" w:rsidTr="00955EFE">
        <w:tc>
          <w:tcPr>
            <w:tcW w:w="5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3EF78"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Roboto" w:hAnsi="Tahoma" w:cs="Tahoma"/>
                <w:kern w:val="0"/>
                <w:sz w:val="18"/>
                <w:szCs w:val="18"/>
                <w:lang w:val="es-ES" w:eastAsia="es-CO"/>
                <w14:ligatures w14:val="none"/>
              </w:rPr>
              <w:t>Porcentaje del personal de seguridad que recibió formación formal</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6B792"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100%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D21DF"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100%</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394CF1"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100%</w:t>
            </w:r>
          </w:p>
        </w:tc>
      </w:tr>
    </w:tbl>
    <w:p w14:paraId="42C54ABA" w14:textId="77777777" w:rsidR="005C4B78" w:rsidRPr="00B83A53" w:rsidRDefault="005C4B78" w:rsidP="005C4B78">
      <w:pPr>
        <w:spacing w:after="0" w:line="240" w:lineRule="auto"/>
        <w:jc w:val="both"/>
        <w:rPr>
          <w:rFonts w:ascii="Tahoma" w:eastAsia="Times New Roman" w:hAnsi="Tahoma" w:cs="Tahoma"/>
          <w:color w:val="0070C0"/>
          <w:kern w:val="0"/>
          <w:lang w:val="es-ES" w:eastAsia="es-CO"/>
          <w14:ligatures w14:val="none"/>
        </w:rPr>
      </w:pPr>
      <w:r w:rsidRPr="00B83A53">
        <w:rPr>
          <w:rFonts w:ascii="Tahoma" w:eastAsia="Aptos" w:hAnsi="Tahoma" w:cs="Tahoma"/>
          <w:b/>
          <w:color w:val="0070C0"/>
          <w:kern w:val="0"/>
          <w:lang w:val="es-ES" w:eastAsia="es-CO"/>
          <w14:ligatures w14:val="none"/>
        </w:rPr>
        <w:t>GRI 410-1 </w:t>
      </w:r>
    </w:p>
    <w:p w14:paraId="25D09CC3"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4F1A9A7D"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Roboto" w:hAnsi="Tahoma" w:cs="Tahoma"/>
          <w:kern w:val="0"/>
          <w:sz w:val="21"/>
          <w:szCs w:val="21"/>
          <w:lang w:val="es-ES" w:eastAsia="es-CO"/>
          <w14:ligatures w14:val="none"/>
        </w:rPr>
        <w:t>La formación impartida incluyó a terceras organizaciones que proporcionan personal de seguridad.</w:t>
      </w:r>
      <w:r w:rsidRPr="005C4B78">
        <w:rPr>
          <w:rFonts w:ascii="Tahoma" w:eastAsia="Aptos" w:hAnsi="Tahoma" w:cs="Tahoma"/>
          <w:b/>
          <w:kern w:val="0"/>
          <w:lang w:val="es-ES" w:eastAsia="es-CO"/>
          <w14:ligatures w14:val="none"/>
        </w:rPr>
        <w:t xml:space="preserve"> </w:t>
      </w:r>
      <w:r w:rsidRPr="00B83A53">
        <w:rPr>
          <w:rFonts w:ascii="Tahoma" w:eastAsia="Aptos" w:hAnsi="Tahoma" w:cs="Tahoma"/>
          <w:b/>
          <w:color w:val="0070C0"/>
          <w:kern w:val="0"/>
          <w:lang w:val="es-ES" w:eastAsia="es-CO"/>
          <w14:ligatures w14:val="none"/>
        </w:rPr>
        <w:t>GRI 410-1</w:t>
      </w:r>
    </w:p>
    <w:p w14:paraId="4AA58959" w14:textId="77777777" w:rsidR="005C4B78" w:rsidRPr="00B83A53" w:rsidRDefault="005C4B78" w:rsidP="005C4B78">
      <w:pPr>
        <w:spacing w:before="240" w:after="240" w:line="240" w:lineRule="auto"/>
        <w:jc w:val="both"/>
        <w:rPr>
          <w:rFonts w:ascii="Tahoma" w:eastAsia="Times New Roman" w:hAnsi="Tahoma" w:cs="Tahoma"/>
          <w:kern w:val="0"/>
          <w:lang w:val="es-ES" w:eastAsia="es-CO"/>
          <w14:ligatures w14:val="none"/>
        </w:rPr>
      </w:pPr>
      <w:r w:rsidRPr="00B83A53">
        <w:rPr>
          <w:rFonts w:ascii="Tahoma" w:eastAsia="Aptos" w:hAnsi="Tahoma" w:cs="Tahoma"/>
          <w:b/>
          <w:kern w:val="0"/>
          <w:sz w:val="32"/>
          <w:szCs w:val="32"/>
          <w:lang w:val="es-ES" w:eastAsia="es-CO"/>
          <w14:ligatures w14:val="none"/>
        </w:rPr>
        <w:t>Debida diligencia para los DDHH </w:t>
      </w:r>
    </w:p>
    <w:p w14:paraId="4B92F04D"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GRI 2-23 </w:t>
      </w:r>
    </w:p>
    <w:p w14:paraId="5F199310"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732BA586"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TRANSELCA ratifica año a año su compromiso con la debida diligencia para los derechos humanos. Estos principios rectores ordenan:</w:t>
      </w:r>
    </w:p>
    <w:p w14:paraId="6C7A0847"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209C7CB6" w14:textId="77777777" w:rsidR="005C4B78" w:rsidRPr="005C4B78" w:rsidRDefault="005C4B78" w:rsidP="00AC1146">
      <w:pPr>
        <w:numPr>
          <w:ilvl w:val="0"/>
          <w:numId w:val="16"/>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Evaluar el contexto de Derechos Humanos antes de emprender un nuevo negocio o una inversión. </w:t>
      </w:r>
    </w:p>
    <w:p w14:paraId="2E6921C4" w14:textId="77777777" w:rsidR="005C4B78" w:rsidRPr="005C4B78" w:rsidRDefault="005C4B78" w:rsidP="00AC1146">
      <w:pPr>
        <w:numPr>
          <w:ilvl w:val="0"/>
          <w:numId w:val="16"/>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Identificar los posibles afectados.</w:t>
      </w:r>
    </w:p>
    <w:p w14:paraId="12413944" w14:textId="77777777" w:rsidR="005C4B78" w:rsidRPr="005C4B78" w:rsidRDefault="005C4B78" w:rsidP="00AC1146">
      <w:pPr>
        <w:numPr>
          <w:ilvl w:val="0"/>
          <w:numId w:val="16"/>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Tener en cuenta, en los proyectos, obras, actividades y/o relaciones comerciales, las normas y aspectos alusivos a los DDHH así como los posibles impactos en las comunidades valoradas. GRI 2-23.a.ii</w:t>
      </w:r>
    </w:p>
    <w:p w14:paraId="6B3EB01B"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b/>
          <w:kern w:val="0"/>
          <w:lang w:val="es-ES" w:eastAsia="es-CO"/>
          <w14:ligatures w14:val="none"/>
        </w:rPr>
        <w:t>GRI 2-23.a.ii</w:t>
      </w:r>
    </w:p>
    <w:p w14:paraId="5EF6E3CF" w14:textId="77777777" w:rsidR="005C4B78" w:rsidRPr="00B83A53" w:rsidRDefault="005C4B78" w:rsidP="005C4B78">
      <w:pPr>
        <w:spacing w:before="240" w:after="240" w:line="240" w:lineRule="auto"/>
        <w:jc w:val="both"/>
        <w:rPr>
          <w:rFonts w:ascii="Tahoma" w:eastAsia="Times New Roman" w:hAnsi="Tahoma" w:cs="Tahoma"/>
          <w:kern w:val="0"/>
          <w:lang w:val="es-ES" w:eastAsia="es-CO"/>
          <w14:ligatures w14:val="none"/>
        </w:rPr>
      </w:pPr>
      <w:r w:rsidRPr="00B83A53">
        <w:rPr>
          <w:rFonts w:ascii="Tahoma" w:eastAsia="Aptos" w:hAnsi="Tahoma" w:cs="Tahoma"/>
          <w:b/>
          <w:kern w:val="0"/>
          <w:sz w:val="36"/>
          <w:szCs w:val="36"/>
          <w:lang w:val="es-ES" w:eastAsia="es-CO"/>
          <w14:ligatures w14:val="none"/>
        </w:rPr>
        <w:t>Gestión de riesgos asociados a los DDHH</w:t>
      </w:r>
    </w:p>
    <w:p w14:paraId="408E5A89"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El trabajo previo que le permite a TRANSELCA ser asertiva en sus actividades y estrategias es la identificación de posibles riesgos que puedan vulnerar los DDHH para así generar las estrategias y emprender las acciones necesarias para evitarlos.</w:t>
      </w:r>
    </w:p>
    <w:p w14:paraId="3034078C"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7124E2A"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Para ello identifica los riesgos asociados a los DDHH en los siguientes procesos de la compañía:</w:t>
      </w:r>
    </w:p>
    <w:p w14:paraId="744D85F5"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D190D00" w14:textId="77777777" w:rsidR="005C4B78" w:rsidRPr="005C4B78" w:rsidRDefault="005C4B78" w:rsidP="00AC1146">
      <w:pPr>
        <w:numPr>
          <w:ilvl w:val="0"/>
          <w:numId w:val="17"/>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Riesgos en las operaciones</w:t>
      </w:r>
    </w:p>
    <w:p w14:paraId="2514A2BA" w14:textId="77777777" w:rsidR="005C4B78" w:rsidRPr="005C4B78" w:rsidRDefault="005C4B78" w:rsidP="00AC1146">
      <w:pPr>
        <w:numPr>
          <w:ilvl w:val="0"/>
          <w:numId w:val="17"/>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Riesgos en la cadena de valor</w:t>
      </w:r>
    </w:p>
    <w:p w14:paraId="23B3785D" w14:textId="77777777" w:rsidR="005C4B78" w:rsidRPr="005C4B78" w:rsidRDefault="005C4B78" w:rsidP="00AC1146">
      <w:pPr>
        <w:numPr>
          <w:ilvl w:val="0"/>
          <w:numId w:val="17"/>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Riesgos en nuevas relaciones comerciales</w:t>
      </w:r>
    </w:p>
    <w:p w14:paraId="371D4381"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78B37CC8"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Para cada uno de estos procesos del negocio se identifican los siguientes riesgos que pueden afectar los DDHH:</w:t>
      </w:r>
    </w:p>
    <w:p w14:paraId="18C70B74"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270F324A" w14:textId="77777777" w:rsidR="005C4B78" w:rsidRPr="005C4B78" w:rsidRDefault="005C4B78" w:rsidP="00AC1146">
      <w:pPr>
        <w:numPr>
          <w:ilvl w:val="0"/>
          <w:numId w:val="1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Trabajo forzoso</w:t>
      </w:r>
    </w:p>
    <w:p w14:paraId="0D090FDC" w14:textId="77777777" w:rsidR="005C4B78" w:rsidRPr="005C4B78" w:rsidRDefault="005C4B78" w:rsidP="00AC1146">
      <w:pPr>
        <w:numPr>
          <w:ilvl w:val="0"/>
          <w:numId w:val="1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lastRenderedPageBreak/>
        <w:t>Trata de personas</w:t>
      </w:r>
    </w:p>
    <w:p w14:paraId="2FB22FA2" w14:textId="77777777" w:rsidR="005C4B78" w:rsidRPr="005C4B78" w:rsidRDefault="005C4B78" w:rsidP="00AC1146">
      <w:pPr>
        <w:numPr>
          <w:ilvl w:val="0"/>
          <w:numId w:val="1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Trabajo infantil</w:t>
      </w:r>
    </w:p>
    <w:p w14:paraId="61DA22FB" w14:textId="77777777" w:rsidR="005C4B78" w:rsidRPr="005C4B78" w:rsidRDefault="005C4B78" w:rsidP="00AC1146">
      <w:pPr>
        <w:numPr>
          <w:ilvl w:val="0"/>
          <w:numId w:val="1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Libertad de asociación</w:t>
      </w:r>
    </w:p>
    <w:p w14:paraId="087CDBD1" w14:textId="77777777" w:rsidR="005C4B78" w:rsidRPr="005C4B78" w:rsidRDefault="005C4B78" w:rsidP="00AC1146">
      <w:pPr>
        <w:numPr>
          <w:ilvl w:val="0"/>
          <w:numId w:val="18"/>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Discriminación</w:t>
      </w:r>
    </w:p>
    <w:p w14:paraId="3909923B"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3F3BA8D7"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A su vez, se identifican los grupos de interés que están cubiertos en la identificación de riesgos de debida diligencia: </w:t>
      </w:r>
    </w:p>
    <w:p w14:paraId="6EC91DEA"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348D83BC" w14:textId="77777777" w:rsidR="005C4B78" w:rsidRPr="005C4B78" w:rsidRDefault="005C4B78" w:rsidP="00AC1146">
      <w:pPr>
        <w:numPr>
          <w:ilvl w:val="0"/>
          <w:numId w:val="1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Colaboradores</w:t>
      </w:r>
    </w:p>
    <w:p w14:paraId="3403822A" w14:textId="77777777" w:rsidR="005C4B78" w:rsidRPr="005C4B78" w:rsidRDefault="005C4B78" w:rsidP="00AC1146">
      <w:pPr>
        <w:numPr>
          <w:ilvl w:val="0"/>
          <w:numId w:val="1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Mujeres</w:t>
      </w:r>
    </w:p>
    <w:p w14:paraId="05A547F3" w14:textId="77777777" w:rsidR="005C4B78" w:rsidRPr="005C4B78" w:rsidRDefault="005C4B78" w:rsidP="00AC1146">
      <w:pPr>
        <w:numPr>
          <w:ilvl w:val="0"/>
          <w:numId w:val="1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Niños</w:t>
      </w:r>
    </w:p>
    <w:p w14:paraId="30C5DBB8" w14:textId="77777777" w:rsidR="005C4B78" w:rsidRPr="005C4B78" w:rsidRDefault="005C4B78" w:rsidP="00AC1146">
      <w:pPr>
        <w:numPr>
          <w:ilvl w:val="0"/>
          <w:numId w:val="1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Trabajo contratado por terceros</w:t>
      </w:r>
    </w:p>
    <w:p w14:paraId="318ADC4A" w14:textId="77777777" w:rsidR="005C4B78" w:rsidRPr="005C4B78" w:rsidRDefault="005C4B78" w:rsidP="00AC1146">
      <w:pPr>
        <w:numPr>
          <w:ilvl w:val="0"/>
          <w:numId w:val="19"/>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Comunidades locales</w:t>
      </w:r>
    </w:p>
    <w:p w14:paraId="3731D06F"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0D160C17"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En el proceso de identificación de posibles riesgos relacionados con casos de trabajo forzoso u obligatorio y/o trabajo infantil en las operaciones y/o proveedores no se encontraron riesgos significativos.</w:t>
      </w:r>
    </w:p>
    <w:p w14:paraId="21DA9910"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B83A53">
        <w:rPr>
          <w:rFonts w:ascii="Tahoma" w:eastAsia="Aptos" w:hAnsi="Tahoma" w:cs="Tahoma"/>
          <w:b/>
          <w:color w:val="0070C0"/>
          <w:kern w:val="0"/>
          <w:lang w:val="es-ES" w:eastAsia="es-CO"/>
          <w14:ligatures w14:val="none"/>
        </w:rPr>
        <w:t>GRI 408-1 - GRI 409-1</w:t>
      </w:r>
    </w:p>
    <w:p w14:paraId="5A2EB1F5"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4C6DF838" w14:textId="77777777" w:rsidR="005C4B78" w:rsidRPr="005C4B78" w:rsidRDefault="005C4B78" w:rsidP="005C4B78">
      <w:pPr>
        <w:spacing w:after="0" w:line="240" w:lineRule="auto"/>
        <w:jc w:val="both"/>
        <w:rPr>
          <w:rFonts w:ascii="Tahoma" w:eastAsia="Times New Roman" w:hAnsi="Tahoma" w:cs="Tahoma"/>
          <w:kern w:val="0"/>
          <w:lang w:val="es-ES" w:eastAsia="es-CO"/>
          <w14:ligatures w14:val="none"/>
        </w:rPr>
      </w:pPr>
      <w:r w:rsidRPr="005C4B78">
        <w:rPr>
          <w:rFonts w:ascii="Tahoma" w:eastAsia="Aptos" w:hAnsi="Tahoma" w:cs="Tahoma"/>
          <w:kern w:val="0"/>
          <w:lang w:val="es-ES" w:eastAsia="es-CO"/>
          <w14:ligatures w14:val="none"/>
        </w:rPr>
        <w:t>Entre las acciones de TRANSELCA para gestionar estos riesgos se destacan:</w:t>
      </w:r>
    </w:p>
    <w:p w14:paraId="31D84B9E" w14:textId="77777777" w:rsidR="005C4B78" w:rsidRPr="005C4B78" w:rsidRDefault="005C4B78" w:rsidP="005C4B78">
      <w:pPr>
        <w:spacing w:after="0" w:line="240" w:lineRule="auto"/>
        <w:rPr>
          <w:rFonts w:ascii="Tahoma" w:eastAsia="Times New Roman" w:hAnsi="Tahoma" w:cs="Tahoma"/>
          <w:kern w:val="0"/>
          <w:lang w:val="es-ES" w:eastAsia="es-CO"/>
          <w14:ligatures w14:val="none"/>
        </w:rPr>
      </w:pPr>
    </w:p>
    <w:p w14:paraId="51D9CCFB" w14:textId="77777777" w:rsidR="005C4B78" w:rsidRPr="005C4B78" w:rsidRDefault="005C4B78" w:rsidP="00AC1146">
      <w:pPr>
        <w:numPr>
          <w:ilvl w:val="0"/>
          <w:numId w:val="20"/>
        </w:numPr>
        <w:spacing w:after="0" w:line="240" w:lineRule="auto"/>
        <w:jc w:val="both"/>
        <w:rPr>
          <w:rFonts w:ascii="Tahoma" w:eastAsia="Aptos" w:hAnsi="Tahoma" w:cs="Tahoma"/>
          <w:kern w:val="0"/>
          <w:lang w:val="es-ES" w:eastAsia="es-CO"/>
          <w14:ligatures w14:val="none"/>
        </w:rPr>
      </w:pPr>
      <w:r w:rsidRPr="005C4B78">
        <w:rPr>
          <w:rFonts w:ascii="Tahoma" w:eastAsia="Aptos" w:hAnsi="Tahoma" w:cs="Tahoma"/>
          <w:kern w:val="0"/>
          <w:lang w:val="es-ES" w:eastAsia="es-CO"/>
          <w14:ligatures w14:val="none"/>
        </w:rPr>
        <w:t>Charlas sobre Derechos Humanos en encuentros de trabajadores, proveedores y clientes.</w:t>
      </w:r>
    </w:p>
    <w:p w14:paraId="2B999832" w14:textId="77777777" w:rsidR="005C4B78" w:rsidRPr="005C4B78" w:rsidRDefault="005C4B78" w:rsidP="005C4B78">
      <w:pPr>
        <w:rPr>
          <w:rFonts w:ascii="Aptos" w:eastAsia="Aptos" w:hAnsi="Aptos" w:cs="Aptos"/>
          <w:kern w:val="0"/>
          <w:lang w:val="es-ES" w:eastAsia="es-CO"/>
          <w14:ligatures w14:val="none"/>
        </w:rPr>
      </w:pPr>
      <w:r w:rsidRPr="005C4B78">
        <w:rPr>
          <w:rFonts w:ascii="Aptos" w:eastAsia="Aptos" w:hAnsi="Aptos" w:cs="Aptos"/>
          <w:kern w:val="0"/>
          <w:lang w:val="es-ES" w:eastAsia="es-CO"/>
          <w14:ligatures w14:val="none"/>
        </w:rPr>
        <w:t>Auditorías a los proveedores sobre los contratos en ejecución</w:t>
      </w:r>
    </w:p>
    <w:p w14:paraId="28E425CD" w14:textId="3E7075EE" w:rsidR="0031711E" w:rsidRDefault="0031711E">
      <w:pPr>
        <w:rPr>
          <w:rFonts w:ascii="Calibri" w:hAnsi="Calibri" w:cs="Calibri"/>
          <w:sz w:val="52"/>
          <w:szCs w:val="52"/>
          <w:lang w:val="es-ES"/>
        </w:rPr>
      </w:pPr>
    </w:p>
    <w:p w14:paraId="1C417B71" w14:textId="35BA8C0E" w:rsidR="00492BD5" w:rsidRDefault="0031711E" w:rsidP="00415262">
      <w:pPr>
        <w:rPr>
          <w:rFonts w:ascii="Calibri" w:hAnsi="Calibri" w:cs="Calibri"/>
          <w:sz w:val="52"/>
          <w:szCs w:val="52"/>
          <w:lang w:val="es-ES"/>
        </w:rPr>
      </w:pPr>
      <w:bookmarkStart w:id="5" w:name="MARCOESTRATEGICO"/>
      <w:r>
        <w:rPr>
          <w:rFonts w:ascii="Calibri" w:hAnsi="Calibri" w:cs="Calibri"/>
          <w:noProof/>
          <w:sz w:val="52"/>
          <w:szCs w:val="52"/>
          <w:lang w:val="es-ES"/>
        </w:rPr>
        <w:lastRenderedPageBreak/>
        <w:drawing>
          <wp:inline distT="0" distB="0" distL="0" distR="0" wp14:anchorId="0A6A8CA4" wp14:editId="00A6ABDD">
            <wp:extent cx="5612130" cy="7262495"/>
            <wp:effectExtent l="0" t="0" r="1270" b="1905"/>
            <wp:docPr id="11379288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28893" name="Imagen 113792889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5"/>
    </w:p>
    <w:p w14:paraId="1D21D10B" w14:textId="2E678615" w:rsidR="003B7420" w:rsidRPr="00B83A53" w:rsidRDefault="00492BD5" w:rsidP="00955EFE">
      <w:pPr>
        <w:jc w:val="both"/>
        <w:rPr>
          <w:rFonts w:ascii="Tahoma" w:eastAsia="Aptos" w:hAnsi="Tahoma" w:cs="Tahoma"/>
          <w:color w:val="0070C0"/>
          <w:kern w:val="0"/>
          <w:sz w:val="40"/>
          <w:szCs w:val="40"/>
          <w:lang w:val="es-ES" w:eastAsia="es-CO"/>
          <w14:ligatures w14:val="none"/>
        </w:rPr>
      </w:pPr>
      <w:r>
        <w:rPr>
          <w:rFonts w:ascii="Calibri" w:hAnsi="Calibri" w:cs="Calibri"/>
          <w:sz w:val="52"/>
          <w:szCs w:val="52"/>
          <w:lang w:val="es-ES"/>
        </w:rPr>
        <w:br w:type="page"/>
      </w:r>
      <w:r w:rsidR="003B7420" w:rsidRPr="00B83A53">
        <w:rPr>
          <w:rFonts w:ascii="Tahoma" w:eastAsia="Aptos" w:hAnsi="Tahoma" w:cs="Tahoma"/>
          <w:b/>
          <w:color w:val="0070C0"/>
          <w:kern w:val="0"/>
          <w:sz w:val="40"/>
          <w:szCs w:val="40"/>
          <w:lang w:val="es-ES" w:eastAsia="es-CO"/>
          <w14:ligatures w14:val="none"/>
        </w:rPr>
        <w:lastRenderedPageBreak/>
        <w:t>M</w:t>
      </w:r>
      <w:r w:rsidR="007D3796" w:rsidRPr="00B83A53">
        <w:rPr>
          <w:rFonts w:ascii="Tahoma" w:eastAsia="Aptos" w:hAnsi="Tahoma" w:cs="Tahoma"/>
          <w:b/>
          <w:color w:val="0070C0"/>
          <w:kern w:val="0"/>
          <w:sz w:val="40"/>
          <w:szCs w:val="40"/>
          <w:lang w:val="es-ES" w:eastAsia="es-CO"/>
          <w14:ligatures w14:val="none"/>
        </w:rPr>
        <w:t>arco estratégico</w:t>
      </w:r>
    </w:p>
    <w:p w14:paraId="355D62F2" w14:textId="77777777" w:rsidR="003B7420" w:rsidRPr="003B7420" w:rsidRDefault="00C11E42" w:rsidP="003B7420">
      <w:pPr>
        <w:jc w:val="both"/>
        <w:rPr>
          <w:rFonts w:ascii="Tahoma" w:eastAsia="Aptos" w:hAnsi="Tahoma" w:cs="Tahoma"/>
          <w:kern w:val="0"/>
          <w:lang w:val="es-ES" w:eastAsia="es-CO"/>
          <w14:ligatures w14:val="none"/>
        </w:rPr>
      </w:pPr>
      <w:sdt>
        <w:sdtPr>
          <w:rPr>
            <w:rFonts w:ascii="Tahoma" w:eastAsia="Aptos" w:hAnsi="Tahoma" w:cs="Tahoma"/>
            <w:kern w:val="0"/>
            <w:lang w:val="es-ES" w:eastAsia="es-CO"/>
            <w14:ligatures w14:val="none"/>
          </w:rPr>
          <w:tag w:val="goog_rdk_0"/>
          <w:id w:val="300348441"/>
        </w:sdtPr>
        <w:sdtEndPr/>
        <w:sdtContent/>
      </w:sdt>
      <w:r w:rsidR="003B7420" w:rsidRPr="003B7420">
        <w:rPr>
          <w:rFonts w:ascii="Tahoma" w:eastAsia="Aptos" w:hAnsi="Tahoma" w:cs="Tahoma"/>
          <w:noProof/>
          <w:kern w:val="0"/>
          <w:lang w:eastAsia="es-CO"/>
          <w14:ligatures w14:val="none"/>
        </w:rPr>
        <w:drawing>
          <wp:inline distT="0" distB="0" distL="0" distR="0" wp14:anchorId="057A1CA1" wp14:editId="38A90463">
            <wp:extent cx="5400040" cy="2901950"/>
            <wp:effectExtent l="0" t="0" r="0" b="0"/>
            <wp:docPr id="18819991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5400040" cy="2901950"/>
                    </a:xfrm>
                    <a:prstGeom prst="rect">
                      <a:avLst/>
                    </a:prstGeom>
                    <a:ln/>
                  </pic:spPr>
                </pic:pic>
              </a:graphicData>
            </a:graphic>
          </wp:inline>
        </w:drawing>
      </w:r>
    </w:p>
    <w:p w14:paraId="5AA9B07C" w14:textId="77777777" w:rsidR="003B7420" w:rsidRPr="00B83A53" w:rsidRDefault="003B7420" w:rsidP="003B7420">
      <w:pPr>
        <w:jc w:val="both"/>
        <w:rPr>
          <w:rFonts w:ascii="Tahoma" w:eastAsia="Aptos" w:hAnsi="Tahoma" w:cs="Tahoma"/>
          <w:b/>
          <w:color w:val="0070C0"/>
          <w:kern w:val="0"/>
          <w:sz w:val="32"/>
          <w:szCs w:val="36"/>
          <w:lang w:val="es-ES" w:eastAsia="es-CO"/>
          <w14:ligatures w14:val="none"/>
        </w:rPr>
      </w:pPr>
      <w:r w:rsidRPr="00B83A53">
        <w:rPr>
          <w:rFonts w:ascii="Tahoma" w:eastAsia="Aptos" w:hAnsi="Tahoma" w:cs="Tahoma"/>
          <w:b/>
          <w:color w:val="0070C0"/>
          <w:kern w:val="0"/>
          <w:sz w:val="32"/>
          <w:szCs w:val="36"/>
          <w:lang w:val="es-ES" w:eastAsia="es-CO"/>
          <w14:ligatures w14:val="none"/>
        </w:rPr>
        <w:t>Estrategia 2030</w:t>
      </w:r>
    </w:p>
    <w:p w14:paraId="3AE46555"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 xml:space="preserve">Sigue vigente el plan de Direccionamiento Estratégico de TRANSELCA cuyos lineamientos generales descienden de ISA. </w:t>
      </w:r>
    </w:p>
    <w:p w14:paraId="67103103"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 xml:space="preserve">La Junta Directiva realiza seguimiento dos veces al año y evalúa el progreso de los objetivos planteados con relación a la sostenibilidad. </w:t>
      </w:r>
      <w:r w:rsidRPr="003B7420">
        <w:rPr>
          <w:rFonts w:ascii="Tahoma" w:eastAsia="Aptos" w:hAnsi="Tahoma" w:cs="Tahoma"/>
          <w:b/>
          <w:kern w:val="0"/>
          <w:lang w:val="es-ES" w:eastAsia="es-CO"/>
          <w14:ligatures w14:val="none"/>
        </w:rPr>
        <w:t>GRI 2-12</w:t>
      </w:r>
    </w:p>
    <w:p w14:paraId="733536B3"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b/>
          <w:kern w:val="0"/>
          <w:sz w:val="28"/>
          <w:lang w:val="es-ES" w:eastAsia="es-CO"/>
          <w14:ligatures w14:val="none"/>
        </w:rPr>
        <w:t>Integración del enfoque de sostenibilidad en las decisiones y en el negocio</w:t>
      </w:r>
    </w:p>
    <w:p w14:paraId="5B805F78" w14:textId="77777777" w:rsidR="003B7420" w:rsidRPr="00B83A53" w:rsidRDefault="003B7420" w:rsidP="003B7420">
      <w:pPr>
        <w:jc w:val="both"/>
        <w:rPr>
          <w:rFonts w:ascii="Tahoma" w:eastAsia="Aptos" w:hAnsi="Tahoma" w:cs="Tahoma"/>
          <w:color w:val="0070C0"/>
          <w:kern w:val="0"/>
          <w:lang w:val="es-ES" w:eastAsia="es-CO"/>
          <w14:ligatures w14:val="none"/>
        </w:rPr>
      </w:pPr>
      <w:r w:rsidRPr="00B83A53">
        <w:rPr>
          <w:rFonts w:ascii="Tahoma" w:eastAsia="Aptos" w:hAnsi="Tahoma" w:cs="Tahoma"/>
          <w:b/>
          <w:color w:val="0070C0"/>
          <w:kern w:val="0"/>
          <w:lang w:val="es-ES" w:eastAsia="es-CO"/>
          <w14:ligatures w14:val="none"/>
        </w:rPr>
        <w:t>GRI 2-12</w:t>
      </w:r>
    </w:p>
    <w:p w14:paraId="66DB74C1"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Para TRANSELCA su estrategia de negocio se articula con el objetivo de generar valor sostenible, esta filosofía trasciende el valor netamente económico, lo que implica un compromiso con innovación, transformación digital y creación de alianzas estratégicas para alcanzar objetivos comunes. </w:t>
      </w:r>
    </w:p>
    <w:p w14:paraId="0C1AFB1D"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Además, la empresa se enfoca en minimizar el impacto ambiental y promover la conservación del suelo y la biodiversidad, alineándose con los Objetivos de Desarrollo Sostenible (ODS).</w:t>
      </w:r>
    </w:p>
    <w:p w14:paraId="022049B3"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Para el 2025 se trabaja en ajustar la estrategia ampliando el horizonte de tiempo al 2040, potencializando la gestión de los equipos que forman parte del sistema eléctrico para la aceleración de la transición energética en Colombia, y asegurando la confiabilidad, seguridad, resiliencia y flexibilidad del sistema.</w:t>
      </w:r>
    </w:p>
    <w:p w14:paraId="2BB81A6A"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lastRenderedPageBreak/>
        <w:t>Lo anterior permitirá responder a mayor variabilidad de la oferta y la demanda en Soluciones Energéticas Distribuidas (SED) y mantener el crecimiento en conexiones tradicionales y de fuentes renovables.</w:t>
      </w:r>
    </w:p>
    <w:p w14:paraId="50DA2BCD"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Las apuestas de TRANSELCA en materia de su estrategia de negocio están enfocadas en:</w:t>
      </w:r>
    </w:p>
    <w:p w14:paraId="5CCF3967"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Soluciones energéticas distribuidas: </w:t>
      </w:r>
    </w:p>
    <w:p w14:paraId="14DA0DC5" w14:textId="77777777" w:rsidR="003B7420" w:rsidRPr="003B7420" w:rsidRDefault="003B7420" w:rsidP="00AC1146">
      <w:pPr>
        <w:numPr>
          <w:ilvl w:val="0"/>
          <w:numId w:val="22"/>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Desarrollo de un mercado energético más sostenible. </w:t>
      </w:r>
    </w:p>
    <w:p w14:paraId="0C4F00E2" w14:textId="77777777" w:rsidR="003B7420" w:rsidRPr="003B7420" w:rsidRDefault="003B7420" w:rsidP="00AC1146">
      <w:pPr>
        <w:numPr>
          <w:ilvl w:val="0"/>
          <w:numId w:val="22"/>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Optimización del consumo y el costo a través de la conexión de fuentes energéticas adicionales.</w:t>
      </w:r>
    </w:p>
    <w:p w14:paraId="4DE18810" w14:textId="77777777" w:rsidR="003B7420" w:rsidRPr="003B7420" w:rsidRDefault="003B7420" w:rsidP="00AC1146">
      <w:pPr>
        <w:numPr>
          <w:ilvl w:val="0"/>
          <w:numId w:val="22"/>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Aumento de confiabilidad y resiliencia.</w:t>
      </w:r>
    </w:p>
    <w:p w14:paraId="602D9CDC"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Conexiones</w:t>
      </w:r>
    </w:p>
    <w:p w14:paraId="50E795F6" w14:textId="77777777" w:rsidR="003B7420" w:rsidRPr="003B7420" w:rsidRDefault="003B7420" w:rsidP="00AC1146">
      <w:pPr>
        <w:numPr>
          <w:ilvl w:val="0"/>
          <w:numId w:val="26"/>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Líderes en negocios para conexión de nuevas fuentes de energía, grandes consumidores y operadores de red a la red de transmisión.</w:t>
      </w:r>
    </w:p>
    <w:p w14:paraId="5F70E9BD"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Transmisión</w:t>
      </w:r>
    </w:p>
    <w:p w14:paraId="09C3DCAB" w14:textId="77777777" w:rsidR="003B7420" w:rsidRPr="003B7420" w:rsidRDefault="003B7420" w:rsidP="00AC1146">
      <w:pPr>
        <w:numPr>
          <w:ilvl w:val="0"/>
          <w:numId w:val="27"/>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Renovación, modernización y expansión de infraestructura.</w:t>
      </w:r>
    </w:p>
    <w:p w14:paraId="39F539E7" w14:textId="77777777" w:rsidR="003B7420" w:rsidRPr="003B7420" w:rsidRDefault="003B7420" w:rsidP="00AC1146">
      <w:pPr>
        <w:numPr>
          <w:ilvl w:val="0"/>
          <w:numId w:val="27"/>
        </w:num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Servicio confiable (suficiente, seguro, resiliente y flexible).</w:t>
      </w:r>
    </w:p>
    <w:p w14:paraId="0FBB2C16" w14:textId="77777777" w:rsidR="003B7420" w:rsidRPr="003B7420" w:rsidRDefault="003B7420" w:rsidP="003B7420">
      <w:pPr>
        <w:jc w:val="both"/>
        <w:rPr>
          <w:rFonts w:ascii="Tahoma" w:eastAsia="Aptos" w:hAnsi="Tahoma" w:cs="Tahoma"/>
          <w:b/>
          <w:kern w:val="0"/>
          <w:sz w:val="32"/>
          <w:szCs w:val="32"/>
          <w:lang w:val="es-ES" w:eastAsia="es-CO"/>
          <w14:ligatures w14:val="none"/>
        </w:rPr>
      </w:pPr>
    </w:p>
    <w:p w14:paraId="1A970151" w14:textId="77777777" w:rsidR="003B7420" w:rsidRPr="003B7420" w:rsidRDefault="003B7420" w:rsidP="003B7420">
      <w:pPr>
        <w:jc w:val="both"/>
        <w:rPr>
          <w:rFonts w:ascii="Tahoma" w:eastAsia="Aptos" w:hAnsi="Tahoma" w:cs="Tahoma"/>
          <w:kern w:val="0"/>
          <w:sz w:val="32"/>
          <w:szCs w:val="32"/>
          <w:lang w:val="es-ES" w:eastAsia="es-CO"/>
          <w14:ligatures w14:val="none"/>
        </w:rPr>
      </w:pPr>
      <w:r w:rsidRPr="003B7420">
        <w:rPr>
          <w:rFonts w:ascii="Tahoma" w:eastAsia="Aptos" w:hAnsi="Tahoma" w:cs="Tahoma"/>
          <w:noProof/>
          <w:kern w:val="0"/>
          <w:lang w:eastAsia="es-CO"/>
          <w14:ligatures w14:val="none"/>
        </w:rPr>
        <mc:AlternateContent>
          <mc:Choice Requires="wps">
            <w:drawing>
              <wp:anchor distT="0" distB="0" distL="114300" distR="114300" simplePos="0" relativeHeight="251679744" behindDoc="0" locked="0" layoutInCell="1" hidden="0" allowOverlap="1" wp14:anchorId="471A10C6" wp14:editId="4E02485B">
                <wp:simplePos x="0" y="0"/>
                <wp:positionH relativeFrom="margin">
                  <wp:align>center</wp:align>
                </wp:positionH>
                <wp:positionV relativeFrom="paragraph">
                  <wp:posOffset>332105</wp:posOffset>
                </wp:positionV>
                <wp:extent cx="5899150" cy="2524125"/>
                <wp:effectExtent l="0" t="0" r="25400" b="28575"/>
                <wp:wrapNone/>
                <wp:docPr id="1881999150" name="Rectángulo redondeado 1881999150"/>
                <wp:cNvGraphicFramePr/>
                <a:graphic xmlns:a="http://schemas.openxmlformats.org/drawingml/2006/main">
                  <a:graphicData uri="http://schemas.microsoft.com/office/word/2010/wordprocessingShape">
                    <wps:wsp>
                      <wps:cNvSpPr/>
                      <wps:spPr>
                        <a:xfrm>
                          <a:off x="0" y="0"/>
                          <a:ext cx="5899150" cy="2524125"/>
                        </a:xfrm>
                        <a:prstGeom prst="roundRect">
                          <a:avLst>
                            <a:gd name="adj" fmla="val 16667"/>
                          </a:avLst>
                        </a:prstGeom>
                        <a:noFill/>
                        <a:ln w="12700" cap="flat" cmpd="sng">
                          <a:solidFill>
                            <a:srgbClr val="00B0F0"/>
                          </a:solidFill>
                          <a:prstDash val="solid"/>
                          <a:miter lim="800000"/>
                          <a:headEnd type="none" w="sm" len="sm"/>
                          <a:tailEnd type="none" w="sm" len="sm"/>
                        </a:ln>
                      </wps:spPr>
                      <wps:txbx>
                        <w:txbxContent>
                          <w:p w14:paraId="2F63145A" w14:textId="77777777" w:rsidR="003B7420" w:rsidRDefault="003B7420">
                            <w:pPr>
                              <w:spacing w:after="0" w:line="240" w:lineRule="auto"/>
                              <w:textDirection w:val="btLr"/>
                            </w:pPr>
                          </w:p>
                          <w:p w14:paraId="07108BB4" w14:textId="77777777" w:rsidR="003B7420" w:rsidRDefault="003B7420"/>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71A10C6" id="Rectángulo redondeado 1881999150" o:spid="_x0000_s1027" style="position:absolute;left:0;text-align:left;margin-left:0;margin-top:26.15pt;width:464.5pt;height:198.7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" filled="f" strokecolor="#00b0f0" strokeweight="1pt">
                <v:stroke startarrowwidth="narrow" startarrowlength="short" endarrowwidth="narrow" endarrowlength="short" joinstyle="miter"/>
                <v:textbox inset="2.53958mm,2.53958mm,2.53958mm,2.53958mm">
                  <w:txbxContent>
                    <w:p w14:paraId="2F63145A" w14:textId="77777777" w:rsidR="003B7420" w:rsidRDefault="003B7420">
                      <w:pPr>
                        <w:spacing w:after="0" w:line="240" w:lineRule="auto"/>
                        <w:textDirection w:val="btLr"/>
                      </w:pPr>
                    </w:p>
                    <w:p w14:paraId="07108BB4" w14:textId="77777777" w:rsidR="003B7420" w:rsidRDefault="003B7420"/>
                  </w:txbxContent>
                </v:textbox>
                <w10:wrap anchorx="margin"/>
              </v:roundrect>
            </w:pict>
          </mc:Fallback>
        </mc:AlternateContent>
      </w:r>
      <w:r w:rsidRPr="003B7420">
        <w:rPr>
          <w:rFonts w:ascii="Tahoma" w:eastAsia="Aptos" w:hAnsi="Tahoma" w:cs="Tahoma"/>
          <w:b/>
          <w:kern w:val="0"/>
          <w:sz w:val="32"/>
          <w:szCs w:val="32"/>
          <w:lang w:val="es-ES" w:eastAsia="es-CO"/>
          <w14:ligatures w14:val="none"/>
        </w:rPr>
        <w:t>Metas por dimensiones:</w:t>
      </w:r>
    </w:p>
    <w:p w14:paraId="2E1A322E"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p>
    <w:p w14:paraId="3E03D991" w14:textId="77777777" w:rsidR="003B7420" w:rsidRPr="003B7420" w:rsidRDefault="003B7420" w:rsidP="003B7420">
      <w:p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Valor al accionista:</w:t>
      </w:r>
    </w:p>
    <w:p w14:paraId="34BE54C3" w14:textId="77777777" w:rsidR="003B7420" w:rsidRPr="003B7420" w:rsidRDefault="003B7420" w:rsidP="00AC1146">
      <w:pPr>
        <w:numPr>
          <w:ilvl w:val="0"/>
          <w:numId w:val="28"/>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 xml:space="preserve">Aumentar mínimo de 70% en el EBITDA. </w:t>
      </w:r>
    </w:p>
    <w:p w14:paraId="04C68274"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102,2%</w:t>
      </w:r>
    </w:p>
    <w:p w14:paraId="4E8745CD" w14:textId="77777777" w:rsidR="003B7420" w:rsidRPr="003B7420" w:rsidRDefault="003B7420" w:rsidP="00AC1146">
      <w:pPr>
        <w:numPr>
          <w:ilvl w:val="0"/>
          <w:numId w:val="29"/>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Invertir USD x millones en negocios y geografías actuales.</w:t>
      </w:r>
    </w:p>
    <w:p w14:paraId="368DA303"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58%</w:t>
      </w:r>
    </w:p>
    <w:p w14:paraId="72B38640" w14:textId="77777777" w:rsidR="003B7420" w:rsidRPr="003B7420" w:rsidRDefault="003B7420" w:rsidP="00AC1146">
      <w:pPr>
        <w:numPr>
          <w:ilvl w:val="0"/>
          <w:numId w:val="30"/>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Lograr eficiencias de USD 100 millones en TOTEX de procesos core y soporte. Invertir USD x millones en negocios y geografías actuales.</w:t>
      </w:r>
    </w:p>
    <w:p w14:paraId="6C322F1F"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99%</w:t>
      </w:r>
    </w:p>
    <w:p w14:paraId="5C46AB6D" w14:textId="77777777" w:rsidR="003B7420" w:rsidRPr="003B7420" w:rsidRDefault="003B7420" w:rsidP="003B7420">
      <w:pPr>
        <w:jc w:val="both"/>
        <w:rPr>
          <w:rFonts w:ascii="Tahoma" w:eastAsia="Aptos" w:hAnsi="Tahoma" w:cs="Tahoma"/>
          <w:kern w:val="0"/>
          <w:lang w:val="es-ES" w:eastAsia="es-CO"/>
          <w14:ligatures w14:val="none"/>
        </w:rPr>
      </w:pPr>
    </w:p>
    <w:p w14:paraId="1E2B557B" w14:textId="77777777" w:rsidR="003B7420" w:rsidRPr="003B7420" w:rsidRDefault="003B7420" w:rsidP="003B7420">
      <w:pPr>
        <w:jc w:val="both"/>
        <w:rPr>
          <w:rFonts w:ascii="Tahoma" w:eastAsia="Aptos" w:hAnsi="Tahoma" w:cs="Tahoma"/>
          <w:kern w:val="0"/>
          <w:lang w:val="es-ES" w:eastAsia="es-CO"/>
          <w14:ligatures w14:val="none"/>
        </w:rPr>
      </w:pPr>
    </w:p>
    <w:p w14:paraId="7F7B2433" w14:textId="77777777" w:rsidR="003B7420" w:rsidRPr="003B7420" w:rsidRDefault="003B7420" w:rsidP="003B7420">
      <w:pPr>
        <w:jc w:val="both"/>
        <w:rPr>
          <w:rFonts w:ascii="Tahoma" w:eastAsia="Aptos" w:hAnsi="Tahoma" w:cs="Tahoma"/>
          <w:kern w:val="0"/>
          <w:lang w:val="es-ES" w:eastAsia="es-CO"/>
          <w14:ligatures w14:val="none"/>
        </w:rPr>
      </w:pPr>
    </w:p>
    <w:p w14:paraId="3228B489" w14:textId="77777777" w:rsidR="003B7420" w:rsidRPr="003B7420" w:rsidRDefault="003B7420" w:rsidP="003B7420">
      <w:pPr>
        <w:jc w:val="both"/>
        <w:rPr>
          <w:rFonts w:ascii="Tahoma" w:eastAsia="Aptos" w:hAnsi="Tahoma" w:cs="Tahoma"/>
          <w:kern w:val="0"/>
          <w:lang w:val="es-ES" w:eastAsia="es-CO"/>
          <w14:ligatures w14:val="none"/>
        </w:rPr>
      </w:pPr>
    </w:p>
    <w:p w14:paraId="5EA2B6EC" w14:textId="77777777" w:rsidR="003B7420" w:rsidRPr="003B7420" w:rsidRDefault="003B7420" w:rsidP="003B7420">
      <w:pPr>
        <w:jc w:val="both"/>
        <w:rPr>
          <w:rFonts w:ascii="Tahoma" w:eastAsia="Aptos" w:hAnsi="Tahoma" w:cs="Tahoma"/>
          <w:b/>
          <w:kern w:val="0"/>
          <w:lang w:val="es-ES" w:eastAsia="es-CO"/>
          <w14:ligatures w14:val="none"/>
        </w:rPr>
      </w:pPr>
      <w:r w:rsidRPr="003B7420">
        <w:rPr>
          <w:rFonts w:ascii="Tahoma" w:eastAsia="Aptos" w:hAnsi="Tahoma" w:cs="Tahoma"/>
          <w:noProof/>
          <w:kern w:val="0"/>
          <w:lang w:eastAsia="es-CO"/>
          <w14:ligatures w14:val="none"/>
        </w:rPr>
        <mc:AlternateContent>
          <mc:Choice Requires="wps">
            <w:drawing>
              <wp:anchor distT="0" distB="0" distL="114300" distR="114300" simplePos="0" relativeHeight="251680768" behindDoc="0" locked="0" layoutInCell="1" hidden="0" allowOverlap="1" wp14:anchorId="489EAF63" wp14:editId="0ABB4B20">
                <wp:simplePos x="0" y="0"/>
                <wp:positionH relativeFrom="margin">
                  <wp:align>center</wp:align>
                </wp:positionH>
                <wp:positionV relativeFrom="paragraph">
                  <wp:posOffset>132080</wp:posOffset>
                </wp:positionV>
                <wp:extent cx="6007100" cy="2428875"/>
                <wp:effectExtent l="0" t="0" r="12700" b="28575"/>
                <wp:wrapNone/>
                <wp:docPr id="1881999149" name="Rectángulo redondeado 1881999149"/>
                <wp:cNvGraphicFramePr/>
                <a:graphic xmlns:a="http://schemas.openxmlformats.org/drawingml/2006/main">
                  <a:graphicData uri="http://schemas.microsoft.com/office/word/2010/wordprocessingShape">
                    <wps:wsp>
                      <wps:cNvSpPr/>
                      <wps:spPr>
                        <a:xfrm>
                          <a:off x="0" y="0"/>
                          <a:ext cx="6007100" cy="2428875"/>
                        </a:xfrm>
                        <a:prstGeom prst="roundRect">
                          <a:avLst>
                            <a:gd name="adj" fmla="val 16667"/>
                          </a:avLst>
                        </a:prstGeom>
                        <a:noFill/>
                        <a:ln w="12700" cap="flat" cmpd="sng">
                          <a:solidFill>
                            <a:srgbClr val="00B0F0"/>
                          </a:solidFill>
                          <a:prstDash val="solid"/>
                          <a:miter lim="800000"/>
                          <a:headEnd type="none" w="sm" len="sm"/>
                          <a:tailEnd type="none" w="sm" len="sm"/>
                        </a:ln>
                      </wps:spPr>
                      <wps:txbx>
                        <w:txbxContent>
                          <w:p w14:paraId="52B62117" w14:textId="77777777" w:rsidR="003B7420" w:rsidRDefault="003B7420">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489EAF63" id="Rectángulo redondeado 1881999149" o:spid="_x0000_s1028" style="position:absolute;left:0;text-align:left;margin-left:0;margin-top:10.4pt;width:473pt;height:191.25pt;z-index:2516807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" filled="f" strokecolor="#00b0f0" strokeweight="1pt">
                <v:stroke startarrowwidth="narrow" startarrowlength="short" endarrowwidth="narrow" endarrowlength="short" joinstyle="miter"/>
                <v:textbox inset="2.53958mm,2.53958mm,2.53958mm,2.53958mm">
                  <w:txbxContent>
                    <w:p w14:paraId="52B62117" w14:textId="77777777" w:rsidR="003B7420" w:rsidRDefault="003B7420">
                      <w:pPr>
                        <w:spacing w:after="0" w:line="240" w:lineRule="auto"/>
                        <w:textDirection w:val="btLr"/>
                      </w:pPr>
                    </w:p>
                  </w:txbxContent>
                </v:textbox>
                <w10:wrap anchorx="margin"/>
              </v:roundrect>
            </w:pict>
          </mc:Fallback>
        </mc:AlternateContent>
      </w:r>
    </w:p>
    <w:p w14:paraId="23505CB2" w14:textId="77777777" w:rsidR="003B7420" w:rsidRPr="003B7420" w:rsidRDefault="003B7420" w:rsidP="003B7420">
      <w:p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Impacto social y ambiental positivo</w:t>
      </w:r>
    </w:p>
    <w:p w14:paraId="5D00CDC9" w14:textId="77777777" w:rsidR="003B7420" w:rsidRPr="003B7420" w:rsidRDefault="003B7420" w:rsidP="00AC1146">
      <w:pPr>
        <w:numPr>
          <w:ilvl w:val="0"/>
          <w:numId w:val="31"/>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Reducir 11 millones de toneladas de CO2 al planeta.</w:t>
      </w:r>
    </w:p>
    <w:p w14:paraId="02E38FE9"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100%</w:t>
      </w:r>
    </w:p>
    <w:p w14:paraId="6F1482BB" w14:textId="77777777" w:rsidR="003B7420" w:rsidRPr="003B7420" w:rsidRDefault="003B7420" w:rsidP="00AC1146">
      <w:pPr>
        <w:numPr>
          <w:ilvl w:val="0"/>
          <w:numId w:val="32"/>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Generar beneficios con programas sociales de alto impacto.</w:t>
      </w:r>
    </w:p>
    <w:p w14:paraId="00E83CC5"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100%</w:t>
      </w:r>
    </w:p>
    <w:p w14:paraId="68700D22" w14:textId="77777777" w:rsidR="003B7420" w:rsidRPr="003B7420" w:rsidRDefault="003B7420" w:rsidP="00AC1146">
      <w:pPr>
        <w:numPr>
          <w:ilvl w:val="0"/>
          <w:numId w:val="33"/>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Asegurar la excelencia operacional cumpliendo 100% de los estándares de servicio.</w:t>
      </w:r>
    </w:p>
    <w:p w14:paraId="2DB4BAB4"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99.5%</w:t>
      </w:r>
    </w:p>
    <w:p w14:paraId="096B592B"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noProof/>
          <w:kern w:val="0"/>
          <w:lang w:eastAsia="es-CO"/>
          <w14:ligatures w14:val="none"/>
        </w:rPr>
        <mc:AlternateContent>
          <mc:Choice Requires="wps">
            <w:drawing>
              <wp:anchor distT="0" distB="0" distL="114300" distR="114300" simplePos="0" relativeHeight="251681792" behindDoc="0" locked="0" layoutInCell="1" hidden="0" allowOverlap="1" wp14:anchorId="4E3DBC27" wp14:editId="3168007B">
                <wp:simplePos x="0" y="0"/>
                <wp:positionH relativeFrom="margin">
                  <wp:posOffset>-328930</wp:posOffset>
                </wp:positionH>
                <wp:positionV relativeFrom="paragraph">
                  <wp:posOffset>378460</wp:posOffset>
                </wp:positionV>
                <wp:extent cx="6064250" cy="3057525"/>
                <wp:effectExtent l="0" t="0" r="12700" b="28575"/>
                <wp:wrapNone/>
                <wp:docPr id="1881999148" name="Rectángulo redondeado 1881999148"/>
                <wp:cNvGraphicFramePr/>
                <a:graphic xmlns:a="http://schemas.openxmlformats.org/drawingml/2006/main">
                  <a:graphicData uri="http://schemas.microsoft.com/office/word/2010/wordprocessingShape">
                    <wps:wsp>
                      <wps:cNvSpPr/>
                      <wps:spPr>
                        <a:xfrm>
                          <a:off x="0" y="0"/>
                          <a:ext cx="6064250" cy="3057525"/>
                        </a:xfrm>
                        <a:prstGeom prst="roundRect">
                          <a:avLst>
                            <a:gd name="adj" fmla="val 16667"/>
                          </a:avLst>
                        </a:prstGeom>
                        <a:noFill/>
                        <a:ln w="12700" cap="flat" cmpd="sng">
                          <a:solidFill>
                            <a:srgbClr val="00B0F0"/>
                          </a:solidFill>
                          <a:prstDash val="solid"/>
                          <a:miter lim="800000"/>
                          <a:headEnd type="none" w="sm" len="sm"/>
                          <a:tailEnd type="none" w="sm" len="sm"/>
                        </a:ln>
                      </wps:spPr>
                      <wps:txbx>
                        <w:txbxContent>
                          <w:p w14:paraId="6049047C" w14:textId="77777777" w:rsidR="003B7420" w:rsidRDefault="003B7420">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4E3DBC27" id="Rectángulo redondeado 1881999148" o:spid="_x0000_s1029" style="position:absolute;left:0;text-align:left;margin-left:-25.9pt;margin-top:29.8pt;width:477.5pt;height:240.7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" filled="f" strokecolor="#00b0f0" strokeweight="1pt">
                <v:stroke startarrowwidth="narrow" startarrowlength="short" endarrowwidth="narrow" endarrowlength="short" joinstyle="miter"/>
                <v:textbox inset="2.53958mm,2.53958mm,2.53958mm,2.53958mm">
                  <w:txbxContent>
                    <w:p w14:paraId="6049047C" w14:textId="77777777" w:rsidR="003B7420" w:rsidRDefault="003B7420">
                      <w:pPr>
                        <w:spacing w:after="0" w:line="240" w:lineRule="auto"/>
                        <w:textDirection w:val="btLr"/>
                      </w:pPr>
                    </w:p>
                  </w:txbxContent>
                </v:textbox>
                <w10:wrap anchorx="margin"/>
              </v:roundrect>
            </w:pict>
          </mc:Fallback>
        </mc:AlternateContent>
      </w:r>
    </w:p>
    <w:p w14:paraId="76488EED"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p>
    <w:p w14:paraId="589FFECD" w14:textId="77777777" w:rsidR="003B7420" w:rsidRPr="003B7420" w:rsidRDefault="003B7420" w:rsidP="003B7420">
      <w:p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Vigencia corporativa:</w:t>
      </w:r>
    </w:p>
    <w:p w14:paraId="0CFEDD1C" w14:textId="77777777" w:rsidR="003B7420" w:rsidRPr="003B7420" w:rsidRDefault="003B7420" w:rsidP="00AC1146">
      <w:pPr>
        <w:numPr>
          <w:ilvl w:val="0"/>
          <w:numId w:val="23"/>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Lograr en el 90% de los empleados un desempeño superior y cubrir 70% de cargos críticos con personal interno.</w:t>
      </w:r>
    </w:p>
    <w:p w14:paraId="28753E76"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90%</w:t>
      </w:r>
    </w:p>
    <w:p w14:paraId="34E9ECB1" w14:textId="77777777" w:rsidR="003B7420" w:rsidRPr="003B7420" w:rsidRDefault="003B7420" w:rsidP="00AC1146">
      <w:pPr>
        <w:numPr>
          <w:ilvl w:val="0"/>
          <w:numId w:val="24"/>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Intensificar la digitalización de los procesos core y soporte e incorporarla en nuevas ofertas de valor. </w:t>
      </w:r>
    </w:p>
    <w:p w14:paraId="0D2A0225"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100%</w:t>
      </w:r>
    </w:p>
    <w:p w14:paraId="1FA0EFA1" w14:textId="77777777" w:rsidR="003B7420" w:rsidRPr="003B7420" w:rsidRDefault="003B7420" w:rsidP="003B7420">
      <w:p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b/>
          <w:kern w:val="0"/>
          <w:lang w:val="es-ES" w:eastAsia="es-CO"/>
          <w14:ligatures w14:val="none"/>
        </w:rPr>
        <w:t>Nota:</w:t>
      </w:r>
      <w:r w:rsidRPr="003B7420">
        <w:rPr>
          <w:rFonts w:ascii="Tahoma" w:eastAsia="Aptos" w:hAnsi="Tahoma" w:cs="Tahoma"/>
          <w:kern w:val="0"/>
          <w:lang w:val="es-ES" w:eastAsia="es-CO"/>
          <w14:ligatures w14:val="none"/>
        </w:rPr>
        <w:t xml:space="preserve"> el % de avance hace referencia a metas anuales por empresa de automatizaciones.</w:t>
      </w:r>
    </w:p>
    <w:p w14:paraId="7C15B113" w14:textId="77777777" w:rsidR="003B7420" w:rsidRPr="003B7420" w:rsidRDefault="003B7420" w:rsidP="00AC1146">
      <w:pPr>
        <w:numPr>
          <w:ilvl w:val="0"/>
          <w:numId w:val="25"/>
        </w:numPr>
        <w:spacing w:after="120" w:line="240" w:lineRule="auto"/>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Invertir USD x millones en nuevos negocios de energía eléctrica.</w:t>
      </w:r>
    </w:p>
    <w:p w14:paraId="673731F1" w14:textId="77777777" w:rsidR="003B7420" w:rsidRPr="003B7420" w:rsidRDefault="003B7420" w:rsidP="003B7420">
      <w:pPr>
        <w:spacing w:after="120" w:line="240" w:lineRule="auto"/>
        <w:jc w:val="both"/>
        <w:rPr>
          <w:rFonts w:ascii="Tahoma" w:eastAsia="Aptos" w:hAnsi="Tahoma" w:cs="Tahoma"/>
          <w:b/>
          <w:kern w:val="0"/>
          <w:lang w:val="es-ES" w:eastAsia="es-CO"/>
          <w14:ligatures w14:val="none"/>
        </w:rPr>
      </w:pPr>
      <w:r w:rsidRPr="003B7420">
        <w:rPr>
          <w:rFonts w:ascii="Tahoma" w:eastAsia="Aptos" w:hAnsi="Tahoma" w:cs="Tahoma"/>
          <w:b/>
          <w:kern w:val="0"/>
          <w:lang w:val="es-ES" w:eastAsia="es-CO"/>
          <w14:ligatures w14:val="none"/>
        </w:rPr>
        <w:t>Avance:  N/A</w:t>
      </w:r>
    </w:p>
    <w:p w14:paraId="4B83D71F" w14:textId="77777777" w:rsidR="003B7420" w:rsidRPr="003B7420" w:rsidRDefault="003B7420" w:rsidP="003B7420">
      <w:pPr>
        <w:jc w:val="both"/>
        <w:rPr>
          <w:rFonts w:ascii="Tahoma" w:eastAsia="Aptos" w:hAnsi="Tahoma" w:cs="Tahoma"/>
          <w:kern w:val="0"/>
          <w:lang w:val="es-ES" w:eastAsia="es-CO"/>
          <w14:ligatures w14:val="none"/>
        </w:rPr>
      </w:pPr>
    </w:p>
    <w:p w14:paraId="1BE0A1AC" w14:textId="77777777" w:rsidR="003B7420" w:rsidRPr="003B7420" w:rsidRDefault="003B7420" w:rsidP="003B7420">
      <w:pPr>
        <w:jc w:val="both"/>
        <w:rPr>
          <w:rFonts w:ascii="Tahoma" w:eastAsia="Aptos" w:hAnsi="Tahoma" w:cs="Tahoma"/>
          <w:b/>
          <w:kern w:val="0"/>
          <w:sz w:val="32"/>
          <w:szCs w:val="32"/>
          <w:lang w:val="es-ES" w:eastAsia="es-CO"/>
          <w14:ligatures w14:val="none"/>
        </w:rPr>
      </w:pPr>
      <w:r w:rsidRPr="003B7420">
        <w:rPr>
          <w:rFonts w:ascii="Tahoma" w:eastAsia="Aptos" w:hAnsi="Tahoma" w:cs="Tahoma"/>
          <w:b/>
          <w:kern w:val="0"/>
          <w:sz w:val="32"/>
          <w:szCs w:val="32"/>
          <w:lang w:val="es-ES" w:eastAsia="es-CO"/>
          <w14:ligatures w14:val="none"/>
        </w:rPr>
        <w:t>Resultados Tablero Balanceado de Gestión (TBG)</w:t>
      </w:r>
    </w:p>
    <w:p w14:paraId="13A6FC0F" w14:textId="77777777" w:rsidR="003B7420" w:rsidRPr="003B7420" w:rsidRDefault="003B7420" w:rsidP="003B7420">
      <w:pPr>
        <w:jc w:val="both"/>
        <w:rPr>
          <w:rFonts w:ascii="Tahoma" w:eastAsia="Aptos" w:hAnsi="Tahoma" w:cs="Tahoma"/>
          <w:kern w:val="0"/>
          <w:lang w:val="es-ES" w:eastAsia="es-CO"/>
          <w14:ligatures w14:val="none"/>
        </w:rPr>
      </w:pPr>
      <w:r w:rsidRPr="003B7420">
        <w:rPr>
          <w:rFonts w:ascii="Tahoma" w:eastAsia="Aptos" w:hAnsi="Tahoma" w:cs="Tahoma"/>
          <w:kern w:val="0"/>
          <w:lang w:val="es-ES" w:eastAsia="es-CO"/>
          <w14:ligatures w14:val="none"/>
        </w:rPr>
        <w:t xml:space="preserve">La Junta Directiva monitorea el avance de la estrategia por medio de los indicadores del Tablero Balanceado de Gestión (TBG), los cuales están alineados con los tres ejes centrales de la estrategia: valor al accionista, vigencia corporativa e impacto social y ambiental. </w:t>
      </w:r>
    </w:p>
    <w:p w14:paraId="08208440" w14:textId="77777777" w:rsidR="003B7420" w:rsidRPr="003B7420" w:rsidRDefault="003B7420" w:rsidP="003B7420">
      <w:pPr>
        <w:jc w:val="both"/>
        <w:rPr>
          <w:rFonts w:ascii="Tahoma" w:eastAsia="Aptos" w:hAnsi="Tahoma" w:cs="Tahoma"/>
          <w:kern w:val="0"/>
          <w:lang w:val="es-ES" w:eastAsia="es-CO"/>
          <w14:ligatures w14:val="none"/>
        </w:rPr>
      </w:pPr>
    </w:p>
    <w:p w14:paraId="627E3296" w14:textId="77777777" w:rsidR="003B7420" w:rsidRPr="003B7420" w:rsidRDefault="003B7420" w:rsidP="003B7420">
      <w:pPr>
        <w:jc w:val="both"/>
        <w:rPr>
          <w:rFonts w:ascii="Aptos" w:eastAsia="Aptos" w:hAnsi="Aptos" w:cs="Aptos"/>
          <w:kern w:val="0"/>
          <w:lang w:val="es-ES" w:eastAsia="es-CO"/>
          <w14:ligatures w14:val="none"/>
        </w:rPr>
      </w:pPr>
      <w:r w:rsidRPr="003B7420">
        <w:rPr>
          <w:rFonts w:ascii="Tahoma" w:eastAsia="Aptos" w:hAnsi="Tahoma" w:cs="Tahoma"/>
          <w:kern w:val="0"/>
          <w:lang w:val="es-ES" w:eastAsia="es-CO"/>
          <w14:ligatures w14:val="none"/>
        </w:rPr>
        <w:lastRenderedPageBreak/>
        <w:t>A continuación, se muestra el cumplimiento anual para cada uno de los indicadores que lo componen:</w:t>
      </w:r>
      <w:r w:rsidRPr="003B7420">
        <w:rPr>
          <w:rFonts w:ascii="Aptos" w:eastAsia="Aptos" w:hAnsi="Aptos" w:cs="Aptos"/>
          <w:noProof/>
          <w:kern w:val="0"/>
          <w:lang w:eastAsia="es-CO"/>
          <w14:ligatures w14:val="none"/>
        </w:rPr>
        <w:drawing>
          <wp:anchor distT="0" distB="0" distL="114300" distR="114300" simplePos="0" relativeHeight="251682816" behindDoc="0" locked="0" layoutInCell="1" hidden="0" allowOverlap="1" wp14:anchorId="7DE74021" wp14:editId="2B941CD6">
            <wp:simplePos x="0" y="0"/>
            <wp:positionH relativeFrom="column">
              <wp:posOffset>-457834</wp:posOffset>
            </wp:positionH>
            <wp:positionV relativeFrom="paragraph">
              <wp:posOffset>1282065</wp:posOffset>
            </wp:positionV>
            <wp:extent cx="6463030" cy="4394200"/>
            <wp:effectExtent l="0" t="0" r="0" b="0"/>
            <wp:wrapSquare wrapText="bothSides" distT="0" distB="0" distL="114300" distR="114300"/>
            <wp:docPr id="18819991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r="6821"/>
                    <a:stretch>
                      <a:fillRect/>
                    </a:stretch>
                  </pic:blipFill>
                  <pic:spPr>
                    <a:xfrm>
                      <a:off x="0" y="0"/>
                      <a:ext cx="6463030" cy="4394200"/>
                    </a:xfrm>
                    <a:prstGeom prst="rect">
                      <a:avLst/>
                    </a:prstGeom>
                    <a:ln/>
                  </pic:spPr>
                </pic:pic>
              </a:graphicData>
            </a:graphic>
          </wp:anchor>
        </w:drawing>
      </w:r>
    </w:p>
    <w:p w14:paraId="509BD12C" w14:textId="1E678C32" w:rsidR="00492BD5" w:rsidRDefault="00492BD5">
      <w:pPr>
        <w:rPr>
          <w:rFonts w:ascii="Calibri" w:hAnsi="Calibri" w:cs="Calibri"/>
          <w:sz w:val="52"/>
          <w:szCs w:val="52"/>
          <w:lang w:val="es-ES"/>
        </w:rPr>
      </w:pPr>
    </w:p>
    <w:p w14:paraId="0A31DB66" w14:textId="77777777" w:rsidR="00711BDD" w:rsidRDefault="00711BDD" w:rsidP="00415262">
      <w:pPr>
        <w:rPr>
          <w:rFonts w:ascii="Calibri" w:hAnsi="Calibri" w:cs="Calibri"/>
          <w:sz w:val="52"/>
          <w:szCs w:val="52"/>
          <w:lang w:val="es-ES"/>
        </w:rPr>
      </w:pPr>
    </w:p>
    <w:p w14:paraId="5B6F07CF" w14:textId="77777777" w:rsidR="0031711E" w:rsidRDefault="0031711E" w:rsidP="00415262">
      <w:pPr>
        <w:rPr>
          <w:rFonts w:ascii="Calibri" w:hAnsi="Calibri" w:cs="Calibri"/>
          <w:sz w:val="52"/>
          <w:szCs w:val="52"/>
          <w:lang w:val="es-ES"/>
        </w:rPr>
      </w:pPr>
    </w:p>
    <w:p w14:paraId="1EF5E6EE" w14:textId="77777777" w:rsidR="00D0637D" w:rsidRDefault="00D0637D" w:rsidP="00415262">
      <w:pPr>
        <w:rPr>
          <w:rFonts w:ascii="Calibri" w:hAnsi="Calibri" w:cs="Calibri"/>
          <w:sz w:val="52"/>
          <w:szCs w:val="52"/>
          <w:lang w:val="es-ES"/>
        </w:rPr>
      </w:pPr>
    </w:p>
    <w:p w14:paraId="5396DC58" w14:textId="77777777" w:rsidR="00D0637D" w:rsidRDefault="00D0637D" w:rsidP="00415262">
      <w:pPr>
        <w:rPr>
          <w:rFonts w:ascii="Calibri" w:hAnsi="Calibri" w:cs="Calibri"/>
          <w:sz w:val="52"/>
          <w:szCs w:val="52"/>
          <w:lang w:val="es-ES"/>
        </w:rPr>
      </w:pPr>
    </w:p>
    <w:p w14:paraId="789083F4" w14:textId="77777777" w:rsidR="00D0637D" w:rsidRDefault="00D0637D" w:rsidP="00415262">
      <w:pPr>
        <w:rPr>
          <w:rFonts w:ascii="Calibri" w:hAnsi="Calibri" w:cs="Calibri"/>
          <w:sz w:val="52"/>
          <w:szCs w:val="52"/>
          <w:lang w:val="es-ES"/>
        </w:rPr>
      </w:pPr>
    </w:p>
    <w:p w14:paraId="6B8BFFF1" w14:textId="77777777" w:rsidR="00D0637D" w:rsidRDefault="00D0637D" w:rsidP="00415262">
      <w:pPr>
        <w:rPr>
          <w:rFonts w:ascii="Calibri" w:hAnsi="Calibri" w:cs="Calibri"/>
          <w:sz w:val="52"/>
          <w:szCs w:val="52"/>
          <w:lang w:val="es-ES"/>
        </w:rPr>
      </w:pPr>
    </w:p>
    <w:p w14:paraId="78F9CD18" w14:textId="7E831A74" w:rsidR="0031711E" w:rsidRDefault="00492BD5" w:rsidP="00415262">
      <w:pPr>
        <w:rPr>
          <w:rFonts w:ascii="Calibri" w:hAnsi="Calibri" w:cs="Calibri"/>
          <w:sz w:val="52"/>
          <w:szCs w:val="52"/>
          <w:lang w:val="es-ES"/>
        </w:rPr>
      </w:pPr>
      <w:bookmarkStart w:id="6" w:name="GESTIONINTEGRALDERIESGOS"/>
      <w:r>
        <w:rPr>
          <w:rFonts w:ascii="Calibri" w:hAnsi="Calibri" w:cs="Calibri"/>
          <w:noProof/>
          <w:sz w:val="52"/>
          <w:szCs w:val="52"/>
          <w:lang w:val="es-ES"/>
        </w:rPr>
        <w:drawing>
          <wp:inline distT="0" distB="0" distL="0" distR="0" wp14:anchorId="069AC98F" wp14:editId="5532E38F">
            <wp:extent cx="5612130" cy="7262495"/>
            <wp:effectExtent l="0" t="0" r="1270" b="1905"/>
            <wp:docPr id="1881898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9829" name="Imagen 1881898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6"/>
    </w:p>
    <w:p w14:paraId="414B279A" w14:textId="4668169F" w:rsidR="0031711E" w:rsidRDefault="0031711E" w:rsidP="00415262">
      <w:pPr>
        <w:rPr>
          <w:rFonts w:ascii="Calibri" w:hAnsi="Calibri" w:cs="Calibri"/>
          <w:sz w:val="52"/>
          <w:szCs w:val="52"/>
          <w:lang w:val="es-ES"/>
        </w:rPr>
      </w:pPr>
    </w:p>
    <w:p w14:paraId="32609773" w14:textId="315E5787" w:rsidR="002E1A3B" w:rsidRPr="00B83A53" w:rsidRDefault="002E1A3B" w:rsidP="002E1A3B">
      <w:pPr>
        <w:spacing w:after="0" w:line="240" w:lineRule="auto"/>
        <w:jc w:val="both"/>
        <w:rPr>
          <w:rFonts w:ascii="Tahoma" w:eastAsia="Tahoma" w:hAnsi="Tahoma" w:cs="Tahoma"/>
          <w:color w:val="0070C0"/>
          <w:kern w:val="0"/>
          <w:sz w:val="40"/>
          <w:szCs w:val="40"/>
          <w:lang w:val="es-ES" w:eastAsia="es-CO"/>
          <w14:ligatures w14:val="none"/>
        </w:rPr>
      </w:pPr>
      <w:r w:rsidRPr="00B83A53">
        <w:rPr>
          <w:rFonts w:ascii="Tahoma" w:eastAsia="Tahoma" w:hAnsi="Tahoma" w:cs="Tahoma"/>
          <w:b/>
          <w:color w:val="0070C0"/>
          <w:kern w:val="0"/>
          <w:sz w:val="40"/>
          <w:szCs w:val="40"/>
          <w:lang w:val="es-ES" w:eastAsia="es-CO"/>
          <w14:ligatures w14:val="none"/>
        </w:rPr>
        <w:lastRenderedPageBreak/>
        <w:t>G</w:t>
      </w:r>
      <w:r w:rsidR="007D3796" w:rsidRPr="00B83A53">
        <w:rPr>
          <w:rFonts w:ascii="Tahoma" w:eastAsia="Tahoma" w:hAnsi="Tahoma" w:cs="Tahoma"/>
          <w:b/>
          <w:color w:val="0070C0"/>
          <w:kern w:val="0"/>
          <w:sz w:val="40"/>
          <w:szCs w:val="40"/>
          <w:lang w:val="es-ES" w:eastAsia="es-CO"/>
          <w14:ligatures w14:val="none"/>
        </w:rPr>
        <w:t>estión integral de riesgos </w:t>
      </w:r>
    </w:p>
    <w:p w14:paraId="3E9EE707"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111BF9F" w14:textId="77777777" w:rsidR="002E1A3B" w:rsidRPr="002E1A3B" w:rsidRDefault="002E1A3B" w:rsidP="002E1A3B">
      <w:pPr>
        <w:spacing w:after="0" w:line="240" w:lineRule="auto"/>
        <w:jc w:val="both"/>
        <w:rPr>
          <w:rFonts w:ascii="Tahoma" w:eastAsia="Tahoma" w:hAnsi="Tahoma" w:cs="Tahoma"/>
          <w:kern w:val="0"/>
          <w:highlight w:val="white"/>
          <w:lang w:val="es-ES" w:eastAsia="es-CO"/>
          <w14:ligatures w14:val="none"/>
        </w:rPr>
      </w:pPr>
      <w:r w:rsidRPr="002E1A3B">
        <w:rPr>
          <w:rFonts w:ascii="Tahoma" w:eastAsia="Tahoma" w:hAnsi="Tahoma" w:cs="Tahoma"/>
          <w:kern w:val="0"/>
          <w:highlight w:val="white"/>
          <w:lang w:val="es-ES" w:eastAsia="es-CO"/>
          <w14:ligatures w14:val="none"/>
        </w:rPr>
        <w:t xml:space="preserve">La gestión integral de riesgos es transversal para todos los procesos de la compañía y tiene como fin generar y proteger el valor de TRANSELCA, preservar la integridad de los recursos empresariales y la continuidad y sostenibilidad de los negocios. </w:t>
      </w:r>
    </w:p>
    <w:p w14:paraId="50F12CEC" w14:textId="77777777" w:rsidR="002E1A3B" w:rsidRPr="002E1A3B" w:rsidRDefault="002E1A3B" w:rsidP="002E1A3B">
      <w:pPr>
        <w:spacing w:after="0" w:line="240" w:lineRule="auto"/>
        <w:jc w:val="both"/>
        <w:rPr>
          <w:rFonts w:ascii="Tahoma" w:eastAsia="Tahoma" w:hAnsi="Tahoma" w:cs="Tahoma"/>
          <w:kern w:val="0"/>
          <w:highlight w:val="white"/>
          <w:lang w:val="es-ES" w:eastAsia="es-CO"/>
          <w14:ligatures w14:val="none"/>
        </w:rPr>
      </w:pPr>
    </w:p>
    <w:p w14:paraId="4F5544CE"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El ciclo de gestión de riesgos está basado en la Norma ISO 31000 y los lineamientos del grupo ECOPETROL (Guía GEE-G-029).</w:t>
      </w:r>
    </w:p>
    <w:p w14:paraId="153D8255"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3BDB524"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Así mismo, TRANSELCA cuenta con la Política de Riesgos y el Manual Integral de Riesgos que establecen los lineamientos para su gestión en todo el ciclo de vida del activo.</w:t>
      </w:r>
    </w:p>
    <w:p w14:paraId="4FDB241B"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25050D95"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Para la identificación, el análisis, la evaluación, el monitoreo y la comunicación de los riesgos a los que está expuesta la compañía, TRANSELCA tiene un proceso sistemático y homologado que involucra todos los niveles de la organización.</w:t>
      </w:r>
    </w:p>
    <w:p w14:paraId="4DE6C493"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29102521"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De esta manera se busca de minimizar los impactos en los recursos empresariales y aprovechar las oportunidades en la estrategia, los proyectos, los procesos y las operaciones.</w:t>
      </w:r>
    </w:p>
    <w:p w14:paraId="6B6D21C7"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54B5B160"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La gestión incluye la identificación y el tratamiento de riesgos emergentes, riesgos estratégicos y riesgos que afecten la continuidad del negocio. </w:t>
      </w:r>
    </w:p>
    <w:p w14:paraId="596280DF"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32F6D26A"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En este sentido, se establecen lineamientos, formación y acompañamiento metodológico en la gestión integral en todas las fases del ciclo de vida de los activos garantizando la independencia estructural entre la función de gestión del riesgo y las líneas de negocio.</w:t>
      </w:r>
    </w:p>
    <w:p w14:paraId="41F2F976" w14:textId="77777777" w:rsidR="002E1A3B" w:rsidRPr="002E1A3B" w:rsidRDefault="002E1A3B" w:rsidP="002E1A3B">
      <w:pPr>
        <w:spacing w:after="0" w:line="240" w:lineRule="auto"/>
        <w:jc w:val="both"/>
        <w:rPr>
          <w:rFonts w:ascii="Tahoma" w:eastAsia="Tahoma" w:hAnsi="Tahoma" w:cs="Tahoma"/>
          <w:kern w:val="0"/>
          <w:highlight w:val="white"/>
          <w:lang w:val="es-ES" w:eastAsia="es-CO"/>
          <w14:ligatures w14:val="none"/>
        </w:rPr>
      </w:pPr>
    </w:p>
    <w:p w14:paraId="6B6C188E" w14:textId="77777777" w:rsidR="002E1A3B" w:rsidRPr="00B83A53" w:rsidRDefault="002E1A3B" w:rsidP="002E1A3B">
      <w:pPr>
        <w:spacing w:after="0" w:line="240" w:lineRule="auto"/>
        <w:jc w:val="both"/>
        <w:rPr>
          <w:rFonts w:ascii="Tahoma" w:eastAsia="Tahoma" w:hAnsi="Tahoma" w:cs="Tahoma"/>
          <w:b/>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t xml:space="preserve">Gobernanza para la Gestión de Riesgos </w:t>
      </w:r>
    </w:p>
    <w:p w14:paraId="2CF70077" w14:textId="77777777" w:rsidR="002E1A3B" w:rsidRPr="002E1A3B" w:rsidRDefault="002E1A3B" w:rsidP="002E1A3B">
      <w:pPr>
        <w:spacing w:after="0" w:line="240" w:lineRule="auto"/>
        <w:jc w:val="both"/>
        <w:rPr>
          <w:rFonts w:ascii="Tahoma" w:eastAsia="Tahoma" w:hAnsi="Tahoma" w:cs="Tahoma"/>
          <w:b/>
          <w:kern w:val="0"/>
          <w:sz w:val="36"/>
          <w:szCs w:val="36"/>
          <w:lang w:val="es-ES" w:eastAsia="es-CO"/>
          <w14:ligatures w14:val="none"/>
        </w:rPr>
      </w:pPr>
    </w:p>
    <w:p w14:paraId="1AD998E5" w14:textId="77777777" w:rsidR="002E1A3B" w:rsidRPr="002E1A3B" w:rsidRDefault="002E1A3B" w:rsidP="002E1A3B">
      <w:pPr>
        <w:jc w:val="both"/>
        <w:rPr>
          <w:rFonts w:ascii="Tahoma" w:eastAsia="Tahoma" w:hAnsi="Tahoma" w:cs="Tahoma"/>
          <w:color w:val="002060"/>
          <w:kern w:val="0"/>
          <w:highlight w:val="green"/>
          <w:lang w:val="es-ES" w:eastAsia="es-CO"/>
          <w14:ligatures w14:val="none"/>
        </w:rPr>
      </w:pPr>
      <w:r w:rsidRPr="002E1A3B">
        <w:rPr>
          <w:rFonts w:ascii="Tahoma" w:eastAsia="Tahoma" w:hAnsi="Tahoma" w:cs="Tahoma"/>
          <w:noProof/>
          <w:color w:val="002060"/>
          <w:kern w:val="0"/>
          <w:highlight w:val="white"/>
          <w:lang w:eastAsia="es-CO"/>
          <w14:ligatures w14:val="none"/>
        </w:rPr>
        <w:drawing>
          <wp:inline distT="0" distB="0" distL="0" distR="0" wp14:anchorId="344A6F6D" wp14:editId="26A18057">
            <wp:extent cx="5400040" cy="2406650"/>
            <wp:effectExtent l="0" t="0" r="0" b="0"/>
            <wp:docPr id="1923054031" name="image1.png" descr="Interfaz de usuario gráfica, Aplicación, Word&#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Word&#10;&#10;El contenido generado por IA puede ser incorrecto."/>
                    <pic:cNvPicPr preferRelativeResize="0"/>
                  </pic:nvPicPr>
                  <pic:blipFill>
                    <a:blip r:embed="rId24"/>
                    <a:srcRect/>
                    <a:stretch>
                      <a:fillRect/>
                    </a:stretch>
                  </pic:blipFill>
                  <pic:spPr>
                    <a:xfrm>
                      <a:off x="0" y="0"/>
                      <a:ext cx="5400040" cy="2406650"/>
                    </a:xfrm>
                    <a:prstGeom prst="rect">
                      <a:avLst/>
                    </a:prstGeom>
                    <a:ln/>
                  </pic:spPr>
                </pic:pic>
              </a:graphicData>
            </a:graphic>
          </wp:inline>
        </w:drawing>
      </w:r>
    </w:p>
    <w:p w14:paraId="28CB3D7E" w14:textId="77777777" w:rsidR="002E1A3B" w:rsidRPr="00B83A53" w:rsidRDefault="002E1A3B" w:rsidP="002E1A3B">
      <w:pPr>
        <w:spacing w:after="0" w:line="240" w:lineRule="auto"/>
        <w:jc w:val="both"/>
        <w:rPr>
          <w:rFonts w:ascii="Tahoma" w:eastAsia="Tahoma" w:hAnsi="Tahoma" w:cs="Tahoma"/>
          <w:b/>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lastRenderedPageBreak/>
        <w:t xml:space="preserve">Comité Auditoría y Riesgos </w:t>
      </w:r>
    </w:p>
    <w:p w14:paraId="1802DC60" w14:textId="77777777" w:rsidR="002E1A3B" w:rsidRPr="002E1A3B" w:rsidRDefault="002E1A3B" w:rsidP="002E1A3B">
      <w:pPr>
        <w:jc w:val="both"/>
        <w:rPr>
          <w:rFonts w:ascii="Tahoma" w:eastAsia="Tahoma" w:hAnsi="Tahoma" w:cs="Tahoma"/>
          <w:kern w:val="0"/>
          <w:highlight w:val="green"/>
          <w:lang w:val="es-ES" w:eastAsia="es-CO"/>
          <w14:ligatures w14:val="none"/>
        </w:rPr>
      </w:pPr>
    </w:p>
    <w:p w14:paraId="40CCFAEF" w14:textId="77777777" w:rsidR="002E1A3B" w:rsidRPr="002E1A3B" w:rsidRDefault="002E1A3B" w:rsidP="002E1A3B">
      <w:pPr>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TRANSELCA cuenta con un comité de Auditoría y Riesgos responsable de analizar y gestionar riesgos y oportunidades relacionados con la sostenibilidad y el clima. Está conformado por tres (3) miembros de la Junta Directiva, en su mayoría independientes. </w:t>
      </w:r>
    </w:p>
    <w:p w14:paraId="12C3752C" w14:textId="77777777" w:rsidR="002E1A3B" w:rsidRPr="002E1A3B" w:rsidRDefault="002E1A3B" w:rsidP="002E1A3B">
      <w:pPr>
        <w:jc w:val="both"/>
        <w:rPr>
          <w:rFonts w:ascii="Tahoma" w:eastAsia="Tahoma" w:hAnsi="Tahoma" w:cs="Tahoma"/>
          <w:kern w:val="0"/>
          <w:highlight w:val="white"/>
          <w:lang w:val="es-ES" w:eastAsia="es-CO"/>
          <w14:ligatures w14:val="none"/>
        </w:rPr>
      </w:pPr>
      <w:r w:rsidRPr="002E1A3B">
        <w:rPr>
          <w:rFonts w:ascii="Tahoma" w:eastAsia="Tahoma" w:hAnsi="Tahoma" w:cs="Tahoma"/>
          <w:kern w:val="0"/>
          <w:lang w:val="es-ES" w:eastAsia="es-CO"/>
          <w14:ligatures w14:val="none"/>
        </w:rPr>
        <w:t>Algunas de las funciones del Comité son:</w:t>
      </w:r>
    </w:p>
    <w:p w14:paraId="6F72E45C" w14:textId="77777777" w:rsidR="002E1A3B" w:rsidRPr="002E1A3B" w:rsidRDefault="002E1A3B" w:rsidP="00AC1146">
      <w:pPr>
        <w:numPr>
          <w:ilvl w:val="0"/>
          <w:numId w:val="3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Aprobar la política de Gestión Integral de Riesgos de acuerdo con los lineamientos definidos por ISA.</w:t>
      </w:r>
    </w:p>
    <w:p w14:paraId="25AF9349" w14:textId="77777777" w:rsidR="002E1A3B" w:rsidRPr="002E1A3B" w:rsidRDefault="002E1A3B" w:rsidP="00AC1146">
      <w:pPr>
        <w:numPr>
          <w:ilvl w:val="0"/>
          <w:numId w:val="3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Informar a la Junta Directiva sobre la aplicación efectiva del modelo de gestión integral de riesgos.</w:t>
      </w:r>
    </w:p>
    <w:p w14:paraId="5BB226B8" w14:textId="77777777" w:rsidR="002E1A3B" w:rsidRPr="002E1A3B" w:rsidRDefault="002E1A3B" w:rsidP="00AC1146">
      <w:pPr>
        <w:numPr>
          <w:ilvl w:val="0"/>
          <w:numId w:val="3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Identificar y valorar los riesgos emergentes y cualquier otro riesgo que pueda afectar la vigencia corporativa en el mediano y largo plazo. </w:t>
      </w:r>
    </w:p>
    <w:p w14:paraId="5C843A75" w14:textId="77777777" w:rsidR="002E1A3B" w:rsidRPr="002E1A3B" w:rsidRDefault="002E1A3B" w:rsidP="00AC1146">
      <w:pPr>
        <w:numPr>
          <w:ilvl w:val="0"/>
          <w:numId w:val="3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Establecer los mecanismos de alerta existentes evaluando periódicamente su eficacia.     </w:t>
      </w:r>
    </w:p>
    <w:p w14:paraId="57C37DA2" w14:textId="77777777" w:rsidR="002E1A3B" w:rsidRPr="002E1A3B" w:rsidRDefault="002E1A3B" w:rsidP="002E1A3B">
      <w:pPr>
        <w:spacing w:before="240"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Este marco de gobernanza está publicado en la página web disponible para consulta de los grupos de interés. link</w:t>
      </w:r>
    </w:p>
    <w:p w14:paraId="01B7959C" w14:textId="77777777" w:rsidR="002E1A3B" w:rsidRPr="002E1A3B" w:rsidRDefault="002E1A3B" w:rsidP="002E1A3B">
      <w:pPr>
        <w:spacing w:before="240"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https://www.transelca.com.co/SitePages/Comit%C3%A9s%20de%20Auditor%C3%ADa.aspx </w:t>
      </w:r>
    </w:p>
    <w:p w14:paraId="7AF32868"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p>
    <w:p w14:paraId="5D621A76"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Diseñar en diagrama</w:t>
      </w:r>
    </w:p>
    <w:p w14:paraId="179E1B3A"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27874B4D" w14:textId="77777777" w:rsidR="002E1A3B" w:rsidRPr="002E1A3B" w:rsidRDefault="002E1A3B" w:rsidP="002E1A3B">
      <w:pPr>
        <w:spacing w:after="0" w:line="240" w:lineRule="auto"/>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Integrantes</w:t>
      </w:r>
    </w:p>
    <w:p w14:paraId="0C608A8A" w14:textId="77777777" w:rsidR="002E1A3B" w:rsidRPr="002E1A3B" w:rsidRDefault="002E1A3B" w:rsidP="00AC1146">
      <w:pPr>
        <w:numPr>
          <w:ilvl w:val="0"/>
          <w:numId w:val="56"/>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Dr Rafael Simón Del Castillo, miembro independiente de la Junta Directiva</w:t>
      </w:r>
    </w:p>
    <w:p w14:paraId="6EAF8122" w14:textId="77777777" w:rsidR="002E1A3B" w:rsidRPr="002E1A3B" w:rsidRDefault="002E1A3B" w:rsidP="00AC1146">
      <w:pPr>
        <w:numPr>
          <w:ilvl w:val="0"/>
          <w:numId w:val="56"/>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Dr Luis Alejandro Camargo, miembro independiente de la Junta Directiva</w:t>
      </w:r>
    </w:p>
    <w:p w14:paraId="5DF9ED9C" w14:textId="77777777" w:rsidR="002E1A3B" w:rsidRPr="002E1A3B" w:rsidRDefault="002E1A3B" w:rsidP="00AC1146">
      <w:pPr>
        <w:numPr>
          <w:ilvl w:val="0"/>
          <w:numId w:val="56"/>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Dra Sonia Margarita Abuchar, miembro no independiente de la Junta Directiva</w:t>
      </w:r>
    </w:p>
    <w:p w14:paraId="581D680A" w14:textId="77777777" w:rsidR="002E1A3B" w:rsidRPr="002E1A3B" w:rsidRDefault="002E1A3B" w:rsidP="002E1A3B">
      <w:pPr>
        <w:spacing w:after="0" w:line="240" w:lineRule="auto"/>
        <w:rPr>
          <w:rFonts w:ascii="Tahoma" w:eastAsia="Tahoma" w:hAnsi="Tahoma" w:cs="Tahoma"/>
          <w:b/>
          <w:kern w:val="0"/>
          <w:lang w:val="es-ES" w:eastAsia="es-CO"/>
          <w14:ligatures w14:val="none"/>
        </w:rPr>
      </w:pPr>
    </w:p>
    <w:p w14:paraId="7B2D36D3" w14:textId="77777777" w:rsidR="002E1A3B" w:rsidRPr="002E1A3B" w:rsidRDefault="002E1A3B" w:rsidP="002E1A3B">
      <w:pPr>
        <w:spacing w:after="0" w:line="240" w:lineRule="auto"/>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Secretario Técnico</w:t>
      </w:r>
    </w:p>
    <w:p w14:paraId="109D2BC6" w14:textId="77777777" w:rsidR="002E1A3B" w:rsidRPr="002E1A3B" w:rsidRDefault="002E1A3B" w:rsidP="00AC1146">
      <w:pPr>
        <w:numPr>
          <w:ilvl w:val="0"/>
          <w:numId w:val="57"/>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Amado José Bermúdez - Auditor interno y Compliance</w:t>
      </w:r>
    </w:p>
    <w:p w14:paraId="78A50CCA" w14:textId="77777777" w:rsidR="002E1A3B" w:rsidRPr="002E1A3B" w:rsidRDefault="002E1A3B" w:rsidP="002E1A3B">
      <w:pPr>
        <w:spacing w:after="0" w:line="240" w:lineRule="auto"/>
        <w:rPr>
          <w:rFonts w:ascii="Tahoma" w:eastAsia="Tahoma" w:hAnsi="Tahoma" w:cs="Tahoma"/>
          <w:b/>
          <w:kern w:val="0"/>
          <w:lang w:val="es-ES" w:eastAsia="es-CO"/>
          <w14:ligatures w14:val="none"/>
        </w:rPr>
      </w:pPr>
    </w:p>
    <w:p w14:paraId="6EE8949F" w14:textId="77777777" w:rsidR="002E1A3B" w:rsidRPr="002E1A3B" w:rsidRDefault="002E1A3B" w:rsidP="002E1A3B">
      <w:pPr>
        <w:spacing w:after="0" w:line="240" w:lineRule="auto"/>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Invitados permanentes</w:t>
      </w:r>
    </w:p>
    <w:p w14:paraId="6B9A7F89" w14:textId="77777777" w:rsidR="002E1A3B" w:rsidRPr="002E1A3B" w:rsidRDefault="002E1A3B" w:rsidP="00AC1146">
      <w:pPr>
        <w:numPr>
          <w:ilvl w:val="0"/>
          <w:numId w:val="57"/>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Brenda Rodríguez Tova, gerente general de TRANSELCA</w:t>
      </w:r>
    </w:p>
    <w:p w14:paraId="211B9AA4" w14:textId="77777777" w:rsidR="002E1A3B" w:rsidRPr="002E1A3B" w:rsidRDefault="002E1A3B" w:rsidP="00AC1146">
      <w:pPr>
        <w:numPr>
          <w:ilvl w:val="0"/>
          <w:numId w:val="57"/>
        </w:numP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Carlos Mesa Medina, vicepresidente de Auditoría Corporativa</w:t>
      </w:r>
    </w:p>
    <w:p w14:paraId="3B08406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469B5315"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4FCF3826" w14:textId="59655276" w:rsidR="002E1A3B" w:rsidRPr="002E1A3B" w:rsidRDefault="007D3796"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sz w:val="36"/>
          <w:szCs w:val="36"/>
          <w:lang w:val="es-ES" w:eastAsia="es-CO"/>
          <w14:ligatures w14:val="none"/>
        </w:rPr>
        <w:t>PROCESO PARA LA GESTIÓN DE RIESGOS</w:t>
      </w:r>
    </w:p>
    <w:p w14:paraId="5BA9FCBE"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2351F74B"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La gestión de riesgo se integra en la estructura, las operaciones y los procesos de la organización aplicada a nivel estratégico, táctico y operacional, siendo parte </w:t>
      </w:r>
      <w:r w:rsidRPr="002E1A3B">
        <w:rPr>
          <w:rFonts w:ascii="Tahoma" w:eastAsia="Tahoma" w:hAnsi="Tahoma" w:cs="Tahoma"/>
          <w:kern w:val="0"/>
          <w:lang w:val="es-ES" w:eastAsia="es-CO"/>
          <w14:ligatures w14:val="none"/>
        </w:rPr>
        <w:lastRenderedPageBreak/>
        <w:t xml:space="preserve">integral de la gestión diaria y de la toma de decisiones de la empresa. El proceso consta de las siguientes etapas: </w:t>
      </w:r>
    </w:p>
    <w:p w14:paraId="1A88ABCD"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83389C1"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color w:val="002060"/>
          <w:kern w:val="0"/>
          <w:lang w:val="es-ES" w:eastAsia="es-CO"/>
          <w14:ligatures w14:val="none"/>
        </w:rPr>
      </w:pPr>
      <w:r w:rsidRPr="002E1A3B">
        <w:rPr>
          <w:rFonts w:ascii="Tahoma" w:eastAsia="Tahoma" w:hAnsi="Tahoma" w:cs="Tahoma"/>
          <w:kern w:val="0"/>
          <w:lang w:val="es-ES" w:eastAsia="es-CO"/>
          <w14:ligatures w14:val="none"/>
        </w:rPr>
        <w:t>Establecer el contexto externo e interno (conocer riesgos derivados de factores culturales, sociales, políticos, legales, económicos y si son negativos o positivos).</w:t>
      </w:r>
      <w:r w:rsidRPr="002E1A3B">
        <w:rPr>
          <w:rFonts w:ascii="Aptos" w:eastAsia="Aptos" w:hAnsi="Aptos" w:cs="Aptos"/>
          <w:noProof/>
          <w:kern w:val="0"/>
          <w:lang w:eastAsia="es-CO"/>
          <w14:ligatures w14:val="none"/>
        </w:rPr>
        <w:drawing>
          <wp:anchor distT="0" distB="0" distL="114300" distR="114300" simplePos="0" relativeHeight="251684864" behindDoc="0" locked="0" layoutInCell="1" hidden="0" allowOverlap="1" wp14:anchorId="1CC557FC" wp14:editId="59CD11DF">
            <wp:simplePos x="0" y="0"/>
            <wp:positionH relativeFrom="column">
              <wp:posOffset>2791460</wp:posOffset>
            </wp:positionH>
            <wp:positionV relativeFrom="paragraph">
              <wp:posOffset>128270</wp:posOffset>
            </wp:positionV>
            <wp:extent cx="2946400" cy="2604770"/>
            <wp:effectExtent l="0" t="0" r="0" b="0"/>
            <wp:wrapSquare wrapText="bothSides" distT="0" distB="0" distL="114300" distR="114300"/>
            <wp:docPr id="1923054030" name="image3.png" descr="Interfaz de usuario gráfic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Interfaz de usuario gráfica&#10;&#10;El contenido generado por IA puede ser incorrecto."/>
                    <pic:cNvPicPr preferRelativeResize="0"/>
                  </pic:nvPicPr>
                  <pic:blipFill>
                    <a:blip r:embed="rId25"/>
                    <a:srcRect t="2316"/>
                    <a:stretch>
                      <a:fillRect/>
                    </a:stretch>
                  </pic:blipFill>
                  <pic:spPr>
                    <a:xfrm>
                      <a:off x="0" y="0"/>
                      <a:ext cx="2946400" cy="2604770"/>
                    </a:xfrm>
                    <a:prstGeom prst="rect">
                      <a:avLst/>
                    </a:prstGeom>
                    <a:ln/>
                  </pic:spPr>
                </pic:pic>
              </a:graphicData>
            </a:graphic>
          </wp:anchor>
        </w:drawing>
      </w:r>
    </w:p>
    <w:p w14:paraId="3C386005" w14:textId="77777777" w:rsidR="002E1A3B" w:rsidRPr="002E1A3B" w:rsidRDefault="002E1A3B" w:rsidP="002E1A3B">
      <w:pPr>
        <w:pBdr>
          <w:top w:val="nil"/>
          <w:left w:val="nil"/>
          <w:bottom w:val="nil"/>
          <w:right w:val="nil"/>
          <w:between w:val="nil"/>
        </w:pBdr>
        <w:spacing w:after="0" w:line="240" w:lineRule="auto"/>
        <w:ind w:left="720"/>
        <w:rPr>
          <w:rFonts w:ascii="Tahoma" w:eastAsia="Tahoma" w:hAnsi="Tahoma" w:cs="Tahoma"/>
          <w:color w:val="002060"/>
          <w:kern w:val="0"/>
          <w:lang w:val="es-ES" w:eastAsia="es-CO"/>
          <w14:ligatures w14:val="none"/>
        </w:rPr>
      </w:pPr>
    </w:p>
    <w:p w14:paraId="59C86E6A"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Definir los riesgos dentro de la organización y establecer los objetivos que se quieren alcanzar.</w:t>
      </w:r>
    </w:p>
    <w:p w14:paraId="7940C719" w14:textId="77777777" w:rsidR="002E1A3B" w:rsidRPr="002E1A3B" w:rsidRDefault="002E1A3B" w:rsidP="002E1A3B">
      <w:pPr>
        <w:pBdr>
          <w:top w:val="nil"/>
          <w:left w:val="nil"/>
          <w:bottom w:val="nil"/>
          <w:right w:val="nil"/>
          <w:between w:val="nil"/>
        </w:pBdr>
        <w:spacing w:after="0" w:line="240" w:lineRule="auto"/>
        <w:ind w:left="720"/>
        <w:rPr>
          <w:rFonts w:ascii="Tahoma" w:eastAsia="Tahoma" w:hAnsi="Tahoma" w:cs="Tahoma"/>
          <w:kern w:val="0"/>
          <w:lang w:val="es-ES" w:eastAsia="es-CO"/>
          <w14:ligatures w14:val="none"/>
        </w:rPr>
      </w:pPr>
    </w:p>
    <w:p w14:paraId="45230E2E"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Identificar los riesgos</w:t>
      </w:r>
    </w:p>
    <w:p w14:paraId="6CE3DD8A"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CB6E75F"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Analizar los riesgos evaluando causas y posibles consecuencias, y conocer su probabilidad e impacto si se materializan.</w:t>
      </w:r>
    </w:p>
    <w:p w14:paraId="0FD72B77" w14:textId="77777777" w:rsidR="002E1A3B" w:rsidRPr="002E1A3B" w:rsidRDefault="002E1A3B" w:rsidP="002E1A3B">
      <w:pPr>
        <w:pBdr>
          <w:top w:val="nil"/>
          <w:left w:val="nil"/>
          <w:bottom w:val="nil"/>
          <w:right w:val="nil"/>
          <w:between w:val="nil"/>
        </w:pBdr>
        <w:spacing w:after="0" w:line="240" w:lineRule="auto"/>
        <w:ind w:left="720"/>
        <w:rPr>
          <w:rFonts w:ascii="Tahoma" w:eastAsia="Tahoma" w:hAnsi="Tahoma" w:cs="Tahoma"/>
          <w:kern w:val="0"/>
          <w:lang w:val="es-ES" w:eastAsia="es-CO"/>
          <w14:ligatures w14:val="none"/>
        </w:rPr>
      </w:pPr>
    </w:p>
    <w:p w14:paraId="4CAB22C3"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Establecer estrategia de tratamiento que permita disminuir la probabilidad e impacto de los riesgos.</w:t>
      </w:r>
    </w:p>
    <w:p w14:paraId="5C6164F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1F6B0E35"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Monitorear siguiendo un proceso de verificación, supervisión y observación.</w:t>
      </w:r>
    </w:p>
    <w:p w14:paraId="690CBCC0" w14:textId="77777777" w:rsidR="002E1A3B" w:rsidRPr="002E1A3B" w:rsidRDefault="002E1A3B" w:rsidP="002E1A3B">
      <w:pPr>
        <w:pBdr>
          <w:top w:val="nil"/>
          <w:left w:val="nil"/>
          <w:bottom w:val="nil"/>
          <w:right w:val="nil"/>
          <w:between w:val="nil"/>
        </w:pBdr>
        <w:spacing w:after="0"/>
        <w:ind w:left="720"/>
        <w:rPr>
          <w:rFonts w:ascii="Tahoma" w:eastAsia="Tahoma" w:hAnsi="Tahoma" w:cs="Tahoma"/>
          <w:kern w:val="0"/>
          <w:lang w:val="es-ES" w:eastAsia="es-CO"/>
          <w14:ligatures w14:val="none"/>
        </w:rPr>
      </w:pPr>
    </w:p>
    <w:p w14:paraId="28B2061E" w14:textId="77777777" w:rsidR="002E1A3B" w:rsidRPr="002E1A3B" w:rsidRDefault="002E1A3B" w:rsidP="00AC1146">
      <w:pPr>
        <w:numPr>
          <w:ilvl w:val="0"/>
          <w:numId w:val="58"/>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 Comunicar y consultar los riesgos considerando el esquema de seguimiento, referenciamiento y escalonamiento (Procesos, Gerencias de Área, Comité de Gerencia, Comité de Auditoría y Riesgos y Junta Directiva).</w:t>
      </w:r>
    </w:p>
    <w:p w14:paraId="50A163BF" w14:textId="77777777" w:rsidR="002E1A3B" w:rsidRDefault="002E1A3B" w:rsidP="002E1A3B">
      <w:pPr>
        <w:spacing w:after="0" w:line="240" w:lineRule="auto"/>
        <w:jc w:val="both"/>
        <w:rPr>
          <w:rFonts w:ascii="Tahoma" w:eastAsia="Tahoma" w:hAnsi="Tahoma" w:cs="Tahoma"/>
          <w:b/>
          <w:color w:val="0070C0"/>
          <w:kern w:val="0"/>
          <w:highlight w:val="white"/>
          <w:lang w:val="es-ES" w:eastAsia="es-CO"/>
          <w14:ligatures w14:val="none"/>
        </w:rPr>
      </w:pPr>
      <w:r w:rsidRPr="00B83A53">
        <w:rPr>
          <w:rFonts w:ascii="Tahoma" w:eastAsia="Tahoma" w:hAnsi="Tahoma" w:cs="Tahoma"/>
          <w:b/>
          <w:color w:val="0070C0"/>
          <w:kern w:val="0"/>
          <w:highlight w:val="white"/>
          <w:lang w:val="es-ES" w:eastAsia="es-CO"/>
          <w14:ligatures w14:val="none"/>
        </w:rPr>
        <w:t>GRI 2-13 - GRI2-12</w:t>
      </w:r>
    </w:p>
    <w:p w14:paraId="72B0B553" w14:textId="268D33BA" w:rsidR="002E1A3B" w:rsidRPr="00B83A53" w:rsidRDefault="002E1A3B" w:rsidP="002E1A3B">
      <w:pPr>
        <w:spacing w:after="0" w:line="240" w:lineRule="auto"/>
        <w:jc w:val="both"/>
        <w:rPr>
          <w:rFonts w:ascii="Tahoma" w:eastAsia="Tahoma" w:hAnsi="Tahoma" w:cs="Tahoma"/>
          <w:b/>
          <w:color w:val="0070C0"/>
          <w:kern w:val="0"/>
          <w:sz w:val="32"/>
          <w:szCs w:val="32"/>
          <w:highlight w:val="white"/>
          <w:lang w:val="es-ES" w:eastAsia="es-CO"/>
          <w14:ligatures w14:val="none"/>
        </w:rPr>
      </w:pPr>
      <w:r w:rsidRPr="00B83A53">
        <w:rPr>
          <w:rFonts w:ascii="Tahoma" w:eastAsia="Tahoma" w:hAnsi="Tahoma" w:cs="Tahoma"/>
          <w:b/>
          <w:color w:val="0070C0"/>
          <w:kern w:val="0"/>
          <w:sz w:val="32"/>
          <w:szCs w:val="32"/>
          <w:highlight w:val="white"/>
          <w:lang w:val="es-ES" w:eastAsia="es-CO"/>
          <w14:ligatures w14:val="none"/>
        </w:rPr>
        <w:t>Tipología y categorías de riesgos</w:t>
      </w:r>
    </w:p>
    <w:p w14:paraId="0029369B" w14:textId="77777777" w:rsidR="002E1A3B" w:rsidRPr="002E1A3B" w:rsidRDefault="002E1A3B" w:rsidP="002E1A3B">
      <w:pPr>
        <w:spacing w:after="0" w:line="240" w:lineRule="auto"/>
        <w:jc w:val="both"/>
        <w:rPr>
          <w:rFonts w:ascii="Tahoma" w:eastAsia="Tahoma" w:hAnsi="Tahoma" w:cs="Tahoma"/>
          <w:color w:val="002060"/>
          <w:kern w:val="0"/>
          <w:lang w:val="es-ES" w:eastAsia="es-CO"/>
          <w14:ligatures w14:val="none"/>
        </w:rPr>
      </w:pPr>
      <w:r w:rsidRPr="002E1A3B">
        <w:rPr>
          <w:rFonts w:ascii="Tahoma" w:eastAsia="Tahoma" w:hAnsi="Tahoma" w:cs="Tahoma"/>
          <w:noProof/>
          <w:color w:val="002060"/>
          <w:kern w:val="0"/>
          <w:lang w:eastAsia="es-CO"/>
          <w14:ligatures w14:val="none"/>
        </w:rPr>
        <w:drawing>
          <wp:inline distT="0" distB="0" distL="0" distR="0" wp14:anchorId="2B33821D" wp14:editId="4567E291">
            <wp:extent cx="4352925" cy="2219325"/>
            <wp:effectExtent l="0" t="0" r="9525" b="9525"/>
            <wp:docPr id="1923054032" name="image2.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2.png" descr="Texto&#10;&#10;El contenido generado por IA puede ser incorrecto."/>
                    <pic:cNvPicPr preferRelativeResize="0"/>
                  </pic:nvPicPr>
                  <pic:blipFill rotWithShape="1">
                    <a:blip r:embed="rId26"/>
                    <a:srcRect r="8807" b="5953"/>
                    <a:stretch/>
                  </pic:blipFill>
                  <pic:spPr bwMode="auto">
                    <a:xfrm>
                      <a:off x="0" y="0"/>
                      <a:ext cx="4352925" cy="2219325"/>
                    </a:xfrm>
                    <a:prstGeom prst="rect">
                      <a:avLst/>
                    </a:prstGeom>
                    <a:ln>
                      <a:noFill/>
                    </a:ln>
                    <a:extLst>
                      <a:ext uri="{53640926-AAD7-44D8-BBD7-CCE9431645EC}">
                        <a14:shadowObscured xmlns:a14="http://schemas.microsoft.com/office/drawing/2010/main"/>
                      </a:ext>
                    </a:extLst>
                  </pic:spPr>
                </pic:pic>
              </a:graphicData>
            </a:graphic>
          </wp:inline>
        </w:drawing>
      </w:r>
    </w:p>
    <w:p w14:paraId="482078C1" w14:textId="77777777" w:rsidR="002E1A3B" w:rsidRPr="002E1A3B" w:rsidRDefault="002E1A3B" w:rsidP="002E1A3B">
      <w:pPr>
        <w:spacing w:after="0" w:line="240" w:lineRule="auto"/>
        <w:jc w:val="both"/>
        <w:rPr>
          <w:rFonts w:ascii="Tahoma" w:eastAsia="Tahoma" w:hAnsi="Tahoma" w:cs="Tahoma"/>
          <w:b/>
          <w:kern w:val="0"/>
          <w:sz w:val="32"/>
          <w:szCs w:val="32"/>
          <w:lang w:val="es-ES" w:eastAsia="es-CO"/>
          <w14:ligatures w14:val="none"/>
        </w:rPr>
      </w:pPr>
    </w:p>
    <w:p w14:paraId="20C5508B" w14:textId="77777777" w:rsidR="002E1A3B" w:rsidRPr="00B83A53" w:rsidRDefault="002E1A3B" w:rsidP="002E1A3B">
      <w:pPr>
        <w:spacing w:after="0" w:line="240" w:lineRule="auto"/>
        <w:jc w:val="both"/>
        <w:rPr>
          <w:rFonts w:ascii="Tahoma" w:eastAsia="Tahoma" w:hAnsi="Tahoma" w:cs="Tahoma"/>
          <w:color w:val="0070C0"/>
          <w:kern w:val="0"/>
          <w:lang w:val="es-ES" w:eastAsia="es-CO"/>
          <w14:ligatures w14:val="none"/>
        </w:rPr>
      </w:pPr>
      <w:r w:rsidRPr="00B83A53">
        <w:rPr>
          <w:rFonts w:ascii="Tahoma" w:eastAsia="Tahoma" w:hAnsi="Tahoma" w:cs="Tahoma"/>
          <w:b/>
          <w:color w:val="0070C0"/>
          <w:kern w:val="0"/>
          <w:sz w:val="32"/>
          <w:szCs w:val="32"/>
          <w:lang w:val="es-ES" w:eastAsia="es-CO"/>
          <w14:ligatures w14:val="none"/>
        </w:rPr>
        <w:t xml:space="preserve">Análisis y valoración de los riesgos </w:t>
      </w:r>
    </w:p>
    <w:p w14:paraId="4CAFB0D9"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B205232"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TRANSELCA utiliza el análisis de escenarios para realizar la valoración de los riesgos y así</w:t>
      </w:r>
      <w:r w:rsidRPr="002E1A3B">
        <w:rPr>
          <w:rFonts w:ascii="Tahoma" w:eastAsia="Tahoma" w:hAnsi="Tahoma" w:cs="Tahoma"/>
          <w:kern w:val="0"/>
          <w:highlight w:val="white"/>
          <w:lang w:val="es-ES" w:eastAsia="es-CO"/>
          <w14:ligatures w14:val="none"/>
        </w:rPr>
        <w:t xml:space="preserve"> cuantificar el impacto de su materialización en tres dimensiones: financiera, personas y reputación. </w:t>
      </w:r>
    </w:p>
    <w:p w14:paraId="71FE081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988BEC8"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El Manual en Gestión Integral de Riesgos establece los criterios de priorización frente a los que se evalúan los principales eventos que pueden materializarse asignado una probabilidad y una severidad en las tres dimensiones.</w:t>
      </w:r>
    </w:p>
    <w:p w14:paraId="4E0BDE7D"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8634777"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Probabilidad</w:t>
      </w:r>
      <w:r w:rsidRPr="002E1A3B">
        <w:rPr>
          <w:rFonts w:ascii="Tahoma" w:eastAsia="Tahoma" w:hAnsi="Tahoma" w:cs="Tahoma"/>
          <w:kern w:val="0"/>
          <w:highlight w:val="white"/>
          <w:lang w:val="es-ES" w:eastAsia="es-CO"/>
          <w14:ligatures w14:val="none"/>
        </w:rPr>
        <w:t>: Grado de posibilidad de que ocurra un evento. Se establece a partir de datos históricos o mediante el juicio de expertos y se expresa como un número entero entre 0% y 100%.</w:t>
      </w:r>
    </w:p>
    <w:p w14:paraId="53B962D7"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A11BE4E"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Dimensión financiera:</w:t>
      </w:r>
      <w:r w:rsidRPr="002E1A3B">
        <w:rPr>
          <w:rFonts w:ascii="Tahoma" w:eastAsia="Tahoma" w:hAnsi="Tahoma" w:cs="Tahoma"/>
          <w:kern w:val="0"/>
          <w:lang w:val="es-ES" w:eastAsia="es-CO"/>
          <w14:ligatures w14:val="none"/>
        </w:rPr>
        <w:t xml:space="preserve"> Apetito de riesgo que tiene la compañía, es decir, la cantidad de exposición a impactos adversos que la empresa está dispuesta a aceptar para alcanzar sus objetivos. Es</w:t>
      </w:r>
      <w:r w:rsidRPr="002E1A3B">
        <w:rPr>
          <w:rFonts w:ascii="Tahoma" w:eastAsia="Tahoma" w:hAnsi="Tahoma" w:cs="Tahoma"/>
          <w:b/>
          <w:kern w:val="0"/>
          <w:lang w:val="es-ES" w:eastAsia="es-CO"/>
          <w14:ligatures w14:val="none"/>
        </w:rPr>
        <w:t xml:space="preserve"> </w:t>
      </w:r>
      <w:r w:rsidRPr="002E1A3B">
        <w:rPr>
          <w:rFonts w:ascii="Tahoma" w:eastAsia="Tahoma" w:hAnsi="Tahoma" w:cs="Tahoma"/>
          <w:kern w:val="0"/>
          <w:lang w:val="es-ES" w:eastAsia="es-CO"/>
          <w14:ligatures w14:val="none"/>
        </w:rPr>
        <w:t>cuantitativa, cuenta con una periodicidad de revisión y aprobación anual, y se clasifica en cuatro niveles: bajo, medio, alto y muy alto.</w:t>
      </w:r>
    </w:p>
    <w:p w14:paraId="65BE74E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6978F18"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 xml:space="preserve">Dimensión reputación: </w:t>
      </w:r>
      <w:r w:rsidRPr="002E1A3B">
        <w:rPr>
          <w:rFonts w:ascii="Tahoma" w:eastAsia="Tahoma" w:hAnsi="Tahoma" w:cs="Tahoma"/>
          <w:kern w:val="0"/>
          <w:lang w:val="es-ES" w:eastAsia="es-CO"/>
          <w14:ligatures w14:val="none"/>
        </w:rPr>
        <w:t>Tiene en cuenta cualquier evento que pueda dañar la imagen de la organización y que puede ser originado por una opinión, situación o percepción de los diferentes grupos de interés.</w:t>
      </w:r>
    </w:p>
    <w:p w14:paraId="0F596902"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741E2AAB"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Para determinar el impacto del riesgo reputacional se tienen en cuenta estos atributos: Confianza, públicos clave, medios, redes sociales y canales. Para la valoración reputacional se cuenta con cuatro niveles: leve, moderado, crítico y muy crítico.</w:t>
      </w:r>
    </w:p>
    <w:p w14:paraId="4457E41F" w14:textId="77777777" w:rsidR="002E1A3B" w:rsidRPr="002E1A3B" w:rsidRDefault="002E1A3B" w:rsidP="002E1A3B">
      <w:pPr>
        <w:spacing w:after="0" w:line="240" w:lineRule="auto"/>
        <w:rPr>
          <w:rFonts w:ascii="Tahoma" w:eastAsia="Tahoma" w:hAnsi="Tahoma" w:cs="Tahoma"/>
          <w:kern w:val="0"/>
          <w:highlight w:val="green"/>
          <w:lang w:val="es-ES" w:eastAsia="es-CO"/>
          <w14:ligatures w14:val="none"/>
        </w:rPr>
      </w:pPr>
    </w:p>
    <w:p w14:paraId="7AD758CB"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Dimensión personas:</w:t>
      </w:r>
      <w:r w:rsidRPr="002E1A3B">
        <w:rPr>
          <w:rFonts w:ascii="Tahoma" w:eastAsia="Tahoma" w:hAnsi="Tahoma" w:cs="Tahoma"/>
          <w:kern w:val="0"/>
          <w:lang w:val="es-ES" w:eastAsia="es-CO"/>
          <w14:ligatures w14:val="none"/>
        </w:rPr>
        <w:t xml:space="preserve"> Mecanismo de priorización diseñado para abordar la declaración de "aversión a acciones que puedan provocar accidentes graves o fatales en empleados, proveedores y la comunidad". Su valoración es semicuantitativa y cuenta con cuatro niveles: leve, moderado, crítico y muy crítico.</w:t>
      </w:r>
    </w:p>
    <w:p w14:paraId="3276544A" w14:textId="77777777" w:rsidR="002E1A3B" w:rsidRPr="00B83A53" w:rsidRDefault="002E1A3B" w:rsidP="002E1A3B">
      <w:pPr>
        <w:spacing w:before="220" w:after="0" w:line="240" w:lineRule="auto"/>
        <w:ind w:right="160"/>
        <w:jc w:val="both"/>
        <w:rPr>
          <w:rFonts w:ascii="Tahoma" w:eastAsia="Tahoma" w:hAnsi="Tahoma" w:cs="Tahoma"/>
          <w:b/>
          <w:color w:val="0070C0"/>
          <w:kern w:val="0"/>
          <w:sz w:val="36"/>
          <w:szCs w:val="36"/>
          <w:highlight w:val="white"/>
          <w:lang w:val="es-ES" w:eastAsia="es-CO"/>
          <w14:ligatures w14:val="none"/>
        </w:rPr>
        <w:sectPr w:rsidR="002E1A3B" w:rsidRPr="00B83A53" w:rsidSect="00BA533C">
          <w:pgSz w:w="11906" w:h="16838"/>
          <w:pgMar w:top="1417" w:right="1701" w:bottom="1417" w:left="1701" w:header="708" w:footer="708" w:gutter="0"/>
          <w:cols w:space="720"/>
        </w:sectPr>
      </w:pPr>
      <w:r w:rsidRPr="00B83A53">
        <w:rPr>
          <w:rFonts w:ascii="Tahoma" w:eastAsia="Tahoma" w:hAnsi="Tahoma" w:cs="Tahoma"/>
          <w:b/>
          <w:color w:val="0070C0"/>
          <w:kern w:val="0"/>
          <w:sz w:val="36"/>
          <w:szCs w:val="36"/>
          <w:highlight w:val="white"/>
          <w:lang w:val="es-ES" w:eastAsia="es-CO"/>
          <w14:ligatures w14:val="none"/>
        </w:rPr>
        <w:t>Clasificación de los riesgos</w:t>
      </w:r>
    </w:p>
    <w:p w14:paraId="008C6DFC" w14:textId="77777777" w:rsidR="002E1A3B" w:rsidRPr="00B83A53" w:rsidRDefault="002E1A3B" w:rsidP="002E1A3B">
      <w:pPr>
        <w:spacing w:before="220" w:after="0" w:line="240" w:lineRule="auto"/>
        <w:ind w:right="160"/>
        <w:jc w:val="both"/>
        <w:rPr>
          <w:rFonts w:ascii="Tahoma" w:eastAsia="Tahoma" w:hAnsi="Tahoma" w:cs="Tahoma"/>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lastRenderedPageBreak/>
        <w:t>Riesgos emergentes</w:t>
      </w:r>
    </w:p>
    <w:p w14:paraId="2663FA85"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648E8CF8"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Son riesgos complejos y correlacionados, es decir, señales del entorno que pueden afectar el modelo de negocios y ante los cuales hay que actuar de manera anticipada para convertirlos en oportunidades desde la estrategia.</w:t>
      </w:r>
    </w:p>
    <w:p w14:paraId="4BC2E477" w14:textId="77777777" w:rsidR="002E1A3B" w:rsidRPr="002E1A3B" w:rsidRDefault="002E1A3B" w:rsidP="002E1A3B">
      <w:pPr>
        <w:spacing w:after="0" w:line="240" w:lineRule="auto"/>
        <w:rPr>
          <w:rFonts w:ascii="Tahoma" w:eastAsia="Tahoma" w:hAnsi="Tahoma" w:cs="Tahoma"/>
          <w:color w:val="002060"/>
          <w:kern w:val="0"/>
          <w:sz w:val="28"/>
          <w:szCs w:val="28"/>
          <w:lang w:val="es-ES" w:eastAsia="es-CO"/>
          <w14:ligatures w14:val="none"/>
        </w:rPr>
      </w:pPr>
    </w:p>
    <w:tbl>
      <w:tblPr>
        <w:tblW w:w="14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693"/>
        <w:gridCol w:w="3544"/>
        <w:gridCol w:w="190"/>
        <w:gridCol w:w="2362"/>
        <w:gridCol w:w="526"/>
        <w:gridCol w:w="3584"/>
      </w:tblGrid>
      <w:tr w:rsidR="002E1A3B" w:rsidRPr="002E1A3B" w14:paraId="5BD90B46" w14:textId="77777777" w:rsidTr="00955EFE">
        <w:trPr>
          <w:trHeight w:val="720"/>
        </w:trPr>
        <w:tc>
          <w:tcPr>
            <w:tcW w:w="1837" w:type="dxa"/>
            <w:shd w:val="clear" w:color="auto" w:fill="002060"/>
            <w:vAlign w:val="center"/>
          </w:tcPr>
          <w:p w14:paraId="0EC38DB6" w14:textId="77777777" w:rsidR="002E1A3B" w:rsidRPr="002E1A3B" w:rsidRDefault="002E1A3B" w:rsidP="002E1A3B">
            <w:pPr>
              <w:spacing w:after="0" w:line="240" w:lineRule="auto"/>
              <w:jc w:val="center"/>
              <w:rPr>
                <w:rFonts w:ascii="Tahoma" w:eastAsia="Aptos Narrow" w:hAnsi="Tahoma" w:cs="Tahoma"/>
                <w:b/>
                <w:color w:val="FFFFFF"/>
                <w:kern w:val="0"/>
                <w:lang w:val="es-ES" w:eastAsia="es-CO"/>
                <w14:ligatures w14:val="none"/>
              </w:rPr>
            </w:pPr>
            <w:r w:rsidRPr="002E1A3B">
              <w:rPr>
                <w:rFonts w:ascii="Tahoma" w:eastAsia="Aptos Narrow" w:hAnsi="Tahoma" w:cs="Tahoma"/>
                <w:b/>
                <w:color w:val="FFFFFF"/>
                <w:kern w:val="0"/>
                <w:lang w:val="es-ES" w:eastAsia="es-CO"/>
                <w14:ligatures w14:val="none"/>
              </w:rPr>
              <w:t xml:space="preserve">Riesgos </w:t>
            </w:r>
            <w:sdt>
              <w:sdtPr>
                <w:rPr>
                  <w:rFonts w:ascii="Tahoma" w:eastAsia="Aptos" w:hAnsi="Tahoma" w:cs="Tahoma"/>
                  <w:kern w:val="0"/>
                  <w:lang w:val="es-ES" w:eastAsia="es-CO"/>
                  <w14:ligatures w14:val="none"/>
                </w:rPr>
                <w:tag w:val="goog_rdk_3"/>
                <w:id w:val="-451170068"/>
              </w:sdtPr>
              <w:sdtEndPr/>
              <w:sdtContent/>
            </w:sdt>
            <w:r w:rsidRPr="002E1A3B">
              <w:rPr>
                <w:rFonts w:ascii="Tahoma" w:eastAsia="Aptos Narrow" w:hAnsi="Tahoma" w:cs="Tahoma"/>
                <w:b/>
                <w:color w:val="FFFFFF"/>
                <w:kern w:val="0"/>
                <w:lang w:val="es-ES" w:eastAsia="es-CO"/>
                <w14:ligatures w14:val="none"/>
              </w:rPr>
              <w:t xml:space="preserve">emergentes </w:t>
            </w:r>
          </w:p>
        </w:tc>
        <w:tc>
          <w:tcPr>
            <w:tcW w:w="2693" w:type="dxa"/>
            <w:shd w:val="clear" w:color="auto" w:fill="002060"/>
            <w:vAlign w:val="center"/>
          </w:tcPr>
          <w:p w14:paraId="7F2048D8" w14:textId="77777777" w:rsidR="002E1A3B" w:rsidRPr="002E1A3B" w:rsidRDefault="002E1A3B" w:rsidP="002E1A3B">
            <w:pPr>
              <w:spacing w:after="0" w:line="240" w:lineRule="auto"/>
              <w:jc w:val="center"/>
              <w:rPr>
                <w:rFonts w:ascii="Tahoma" w:eastAsia="Aptos Narrow" w:hAnsi="Tahoma" w:cs="Tahoma"/>
                <w:b/>
                <w:color w:val="FFFFFF"/>
                <w:kern w:val="0"/>
                <w:lang w:val="es-ES" w:eastAsia="es-CO"/>
                <w14:ligatures w14:val="none"/>
              </w:rPr>
            </w:pPr>
            <w:r w:rsidRPr="002E1A3B">
              <w:rPr>
                <w:rFonts w:ascii="Tahoma" w:eastAsia="Aptos Narrow" w:hAnsi="Tahoma" w:cs="Tahoma"/>
                <w:b/>
                <w:color w:val="FFFFFF"/>
                <w:kern w:val="0"/>
                <w:lang w:val="es-ES" w:eastAsia="es-CO"/>
                <w14:ligatures w14:val="none"/>
              </w:rPr>
              <w:t>Categoría del riesgo</w:t>
            </w:r>
          </w:p>
        </w:tc>
        <w:tc>
          <w:tcPr>
            <w:tcW w:w="3734" w:type="dxa"/>
            <w:gridSpan w:val="2"/>
            <w:shd w:val="clear" w:color="auto" w:fill="002060"/>
            <w:vAlign w:val="center"/>
          </w:tcPr>
          <w:p w14:paraId="14977C7C" w14:textId="77777777" w:rsidR="002E1A3B" w:rsidRPr="002E1A3B" w:rsidRDefault="002E1A3B" w:rsidP="002E1A3B">
            <w:pPr>
              <w:spacing w:after="0" w:line="240" w:lineRule="auto"/>
              <w:jc w:val="center"/>
              <w:rPr>
                <w:rFonts w:ascii="Tahoma" w:eastAsia="Aptos Narrow" w:hAnsi="Tahoma" w:cs="Tahoma"/>
                <w:b/>
                <w:color w:val="FFFFFF"/>
                <w:kern w:val="0"/>
                <w:lang w:val="es-ES" w:eastAsia="es-CO"/>
                <w14:ligatures w14:val="none"/>
              </w:rPr>
            </w:pPr>
            <w:r w:rsidRPr="002E1A3B">
              <w:rPr>
                <w:rFonts w:ascii="Tahoma" w:eastAsia="Aptos Narrow" w:hAnsi="Tahoma" w:cs="Tahoma"/>
                <w:b/>
                <w:color w:val="FFFFFF"/>
                <w:kern w:val="0"/>
                <w:lang w:val="es-ES" w:eastAsia="es-CO"/>
                <w14:ligatures w14:val="none"/>
              </w:rPr>
              <w:t>Descripción del riesgo</w:t>
            </w:r>
          </w:p>
        </w:tc>
        <w:tc>
          <w:tcPr>
            <w:tcW w:w="2888" w:type="dxa"/>
            <w:gridSpan w:val="2"/>
            <w:shd w:val="clear" w:color="auto" w:fill="002060"/>
            <w:vAlign w:val="center"/>
          </w:tcPr>
          <w:p w14:paraId="128F57D3" w14:textId="77777777" w:rsidR="002E1A3B" w:rsidRPr="002E1A3B" w:rsidRDefault="002E1A3B" w:rsidP="002E1A3B">
            <w:pPr>
              <w:spacing w:after="0" w:line="240" w:lineRule="auto"/>
              <w:jc w:val="center"/>
              <w:rPr>
                <w:rFonts w:ascii="Tahoma" w:eastAsia="Aptos Narrow" w:hAnsi="Tahoma" w:cs="Tahoma"/>
                <w:b/>
                <w:color w:val="FFFFFF"/>
                <w:kern w:val="0"/>
                <w:lang w:val="es-ES" w:eastAsia="es-CO"/>
                <w14:ligatures w14:val="none"/>
              </w:rPr>
            </w:pPr>
            <w:r w:rsidRPr="002E1A3B">
              <w:rPr>
                <w:rFonts w:ascii="Tahoma" w:eastAsia="Aptos Narrow" w:hAnsi="Tahoma" w:cs="Tahoma"/>
                <w:b/>
                <w:color w:val="FFFFFF"/>
                <w:kern w:val="0"/>
                <w:lang w:val="es-ES" w:eastAsia="es-CO"/>
                <w14:ligatures w14:val="none"/>
              </w:rPr>
              <w:t xml:space="preserve">Impacto </w:t>
            </w:r>
          </w:p>
        </w:tc>
        <w:tc>
          <w:tcPr>
            <w:tcW w:w="3584" w:type="dxa"/>
            <w:shd w:val="clear" w:color="auto" w:fill="002060"/>
            <w:vAlign w:val="center"/>
          </w:tcPr>
          <w:p w14:paraId="2028E4AA" w14:textId="77777777" w:rsidR="002E1A3B" w:rsidRPr="002E1A3B" w:rsidRDefault="002E1A3B" w:rsidP="002E1A3B">
            <w:pPr>
              <w:spacing w:after="0" w:line="240" w:lineRule="auto"/>
              <w:jc w:val="center"/>
              <w:rPr>
                <w:rFonts w:ascii="Tahoma" w:eastAsia="Aptos Narrow" w:hAnsi="Tahoma" w:cs="Tahoma"/>
                <w:b/>
                <w:color w:val="FFFFFF"/>
                <w:kern w:val="0"/>
                <w:lang w:val="es-ES" w:eastAsia="es-CO"/>
                <w14:ligatures w14:val="none"/>
              </w:rPr>
            </w:pPr>
            <w:r w:rsidRPr="002E1A3B">
              <w:rPr>
                <w:rFonts w:ascii="Tahoma" w:eastAsia="Aptos Narrow" w:hAnsi="Tahoma" w:cs="Tahoma"/>
                <w:b/>
                <w:color w:val="FFFFFF"/>
                <w:kern w:val="0"/>
                <w:lang w:val="es-ES" w:eastAsia="es-CO"/>
                <w14:ligatures w14:val="none"/>
              </w:rPr>
              <w:t>Acciones de mitigación</w:t>
            </w:r>
          </w:p>
        </w:tc>
      </w:tr>
      <w:tr w:rsidR="002E1A3B" w:rsidRPr="002E1A3B" w14:paraId="5E534F06" w14:textId="77777777" w:rsidTr="00955EFE">
        <w:trPr>
          <w:trHeight w:val="5400"/>
        </w:trPr>
        <w:tc>
          <w:tcPr>
            <w:tcW w:w="1837" w:type="dxa"/>
            <w:shd w:val="clear" w:color="auto" w:fill="auto"/>
            <w:vAlign w:val="center"/>
          </w:tcPr>
          <w:p w14:paraId="30925B24" w14:textId="77777777" w:rsidR="002E1A3B" w:rsidRPr="002E1A3B" w:rsidRDefault="002E1A3B" w:rsidP="002E1A3B">
            <w:pPr>
              <w:spacing w:after="0" w:line="240" w:lineRule="auto"/>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Eventos climatológicos extremos</w:t>
            </w:r>
          </w:p>
        </w:tc>
        <w:tc>
          <w:tcPr>
            <w:tcW w:w="2693" w:type="dxa"/>
            <w:shd w:val="clear" w:color="auto" w:fill="auto"/>
            <w:vAlign w:val="center"/>
          </w:tcPr>
          <w:p w14:paraId="79BF3E54" w14:textId="77777777" w:rsidR="002E1A3B" w:rsidRPr="002E1A3B" w:rsidRDefault="002E1A3B" w:rsidP="002E1A3B">
            <w:pPr>
              <w:spacing w:after="0" w:line="240" w:lineRule="auto"/>
              <w:jc w:val="center"/>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Ambiental</w:t>
            </w:r>
          </w:p>
        </w:tc>
        <w:tc>
          <w:tcPr>
            <w:tcW w:w="3544" w:type="dxa"/>
            <w:shd w:val="clear" w:color="auto" w:fill="auto"/>
            <w:vAlign w:val="center"/>
          </w:tcPr>
          <w:p w14:paraId="38C71CF2" w14:textId="77777777" w:rsidR="002E1A3B" w:rsidRPr="002E1A3B" w:rsidRDefault="002E1A3B" w:rsidP="002E1A3B">
            <w:pPr>
              <w:spacing w:after="0" w:line="240" w:lineRule="auto"/>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Incremento de la intensidad y frecuencia de fenómenos naturales: Inundaciones, incendios, huracanes y ciclones, entre otros, por el incumplimiento de las metas establecidas en el Acuerdo de París de no sobrepasar los 1,5 °C. como resultado de la incapacidad de los gobiernos, empresas e individuos para hacer cumplir, promulgar o invertir en medidas efectivas de mitigación y adaptación del cambio climático.</w:t>
            </w:r>
          </w:p>
        </w:tc>
        <w:tc>
          <w:tcPr>
            <w:tcW w:w="2552" w:type="dxa"/>
            <w:gridSpan w:val="2"/>
            <w:shd w:val="clear" w:color="auto" w:fill="auto"/>
            <w:vAlign w:val="center"/>
          </w:tcPr>
          <w:p w14:paraId="49AE3021" w14:textId="77777777" w:rsidR="002E1A3B" w:rsidRPr="002E1A3B" w:rsidRDefault="002E1A3B" w:rsidP="002E1A3B">
            <w:pPr>
              <w:spacing w:after="0" w:line="240" w:lineRule="auto"/>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 xml:space="preserve">• Aceleración de la transición energética. </w:t>
            </w:r>
          </w:p>
          <w:p w14:paraId="3A792F04" w14:textId="77777777" w:rsidR="002E1A3B" w:rsidRPr="002E1A3B" w:rsidRDefault="002E1A3B" w:rsidP="002E1A3B">
            <w:pPr>
              <w:spacing w:after="0" w:line="240" w:lineRule="auto"/>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 Daños a la infraestructura.</w:t>
            </w:r>
            <w:r w:rsidRPr="002E1A3B">
              <w:rPr>
                <w:rFonts w:ascii="Tahoma" w:eastAsia="Aptos Narrow" w:hAnsi="Tahoma" w:cs="Tahoma"/>
                <w:color w:val="000000"/>
                <w:kern w:val="0"/>
                <w:sz w:val="20"/>
                <w:szCs w:val="22"/>
                <w:lang w:val="es-ES" w:eastAsia="es-CO"/>
                <w14:ligatures w14:val="none"/>
              </w:rPr>
              <w:br/>
              <w:t>• Afectación del servicio y mayores costos de Capex y Opex.</w:t>
            </w:r>
            <w:r w:rsidRPr="002E1A3B">
              <w:rPr>
                <w:rFonts w:ascii="Tahoma" w:eastAsia="Aptos Narrow" w:hAnsi="Tahoma" w:cs="Tahoma"/>
                <w:color w:val="000000"/>
                <w:kern w:val="0"/>
                <w:sz w:val="20"/>
                <w:szCs w:val="22"/>
                <w:lang w:val="es-ES" w:eastAsia="es-CO"/>
                <w14:ligatures w14:val="none"/>
              </w:rPr>
              <w:br/>
              <w:t>• Aumento en las primas de los seguros.</w:t>
            </w:r>
            <w:r w:rsidRPr="002E1A3B">
              <w:rPr>
                <w:rFonts w:ascii="Tahoma" w:eastAsia="Aptos Narrow" w:hAnsi="Tahoma" w:cs="Tahoma"/>
                <w:color w:val="000000"/>
                <w:kern w:val="0"/>
                <w:sz w:val="20"/>
                <w:szCs w:val="22"/>
                <w:lang w:val="es-ES" w:eastAsia="es-CO"/>
                <w14:ligatures w14:val="none"/>
              </w:rPr>
              <w:br/>
              <w:t>• Aumento de desastres naturales, pérdida de vidas humanas, daño a los ecosistemas, migraciones y crisis de recursos naturales.</w:t>
            </w:r>
          </w:p>
        </w:tc>
        <w:tc>
          <w:tcPr>
            <w:tcW w:w="4110" w:type="dxa"/>
            <w:gridSpan w:val="2"/>
            <w:shd w:val="clear" w:color="auto" w:fill="auto"/>
            <w:vAlign w:val="center"/>
          </w:tcPr>
          <w:p w14:paraId="560D7BCD" w14:textId="77777777" w:rsidR="002E1A3B" w:rsidRPr="002E1A3B" w:rsidRDefault="002E1A3B" w:rsidP="002E1A3B">
            <w:pPr>
              <w:spacing w:after="0" w:line="240" w:lineRule="auto"/>
              <w:rPr>
                <w:rFonts w:ascii="Tahoma" w:eastAsia="Aptos Narrow" w:hAnsi="Tahoma" w:cs="Tahoma"/>
                <w:color w:val="000000"/>
                <w:kern w:val="0"/>
                <w:sz w:val="20"/>
                <w:szCs w:val="22"/>
                <w:lang w:val="es-ES" w:eastAsia="es-CO"/>
                <w14:ligatures w14:val="none"/>
              </w:rPr>
            </w:pPr>
            <w:r w:rsidRPr="002E1A3B">
              <w:rPr>
                <w:rFonts w:ascii="Tahoma" w:eastAsia="Aptos Narrow" w:hAnsi="Tahoma" w:cs="Tahoma"/>
                <w:color w:val="000000"/>
                <w:kern w:val="0"/>
                <w:sz w:val="20"/>
                <w:szCs w:val="22"/>
                <w:lang w:val="es-ES" w:eastAsia="es-CO"/>
                <w14:ligatures w14:val="none"/>
              </w:rPr>
              <w:t>- Inversiones en consultorías ambientales para identificación de riesgos y mapeamiento de activos críticos con mayor exposición a eventos extremos.</w:t>
            </w:r>
            <w:r w:rsidRPr="002E1A3B">
              <w:rPr>
                <w:rFonts w:ascii="Tahoma" w:eastAsia="Aptos Narrow" w:hAnsi="Tahoma" w:cs="Tahoma"/>
                <w:color w:val="000000"/>
                <w:kern w:val="0"/>
                <w:sz w:val="20"/>
                <w:szCs w:val="22"/>
                <w:lang w:val="es-ES" w:eastAsia="es-CO"/>
                <w14:ligatures w14:val="none"/>
              </w:rPr>
              <w:br/>
              <w:t xml:space="preserve">- Refuerzos y mejoras a la infraestructura. </w:t>
            </w:r>
            <w:r w:rsidRPr="002E1A3B">
              <w:rPr>
                <w:rFonts w:ascii="Tahoma" w:eastAsia="Aptos Narrow" w:hAnsi="Tahoma" w:cs="Tahoma"/>
                <w:color w:val="000000"/>
                <w:kern w:val="0"/>
                <w:sz w:val="20"/>
                <w:szCs w:val="22"/>
                <w:lang w:val="es-ES" w:eastAsia="es-CO"/>
                <w14:ligatures w14:val="none"/>
              </w:rPr>
              <w:br/>
              <w:t>- Protocolos de recuperación ante desastres.</w:t>
            </w:r>
            <w:r w:rsidRPr="002E1A3B">
              <w:rPr>
                <w:rFonts w:ascii="Tahoma" w:eastAsia="Aptos Narrow" w:hAnsi="Tahoma" w:cs="Tahoma"/>
                <w:color w:val="000000"/>
                <w:kern w:val="0"/>
                <w:sz w:val="20"/>
                <w:szCs w:val="22"/>
                <w:lang w:val="es-ES" w:eastAsia="es-CO"/>
                <w14:ligatures w14:val="none"/>
              </w:rPr>
              <w:br/>
              <w:t>-Participación en mercados financieros verdes.</w:t>
            </w:r>
            <w:r w:rsidRPr="002E1A3B">
              <w:rPr>
                <w:rFonts w:ascii="Tahoma" w:eastAsia="Aptos Narrow" w:hAnsi="Tahoma" w:cs="Tahoma"/>
                <w:color w:val="000000"/>
                <w:kern w:val="0"/>
                <w:sz w:val="20"/>
                <w:szCs w:val="22"/>
                <w:lang w:val="es-ES" w:eastAsia="es-CO"/>
                <w14:ligatures w14:val="none"/>
              </w:rPr>
              <w:br/>
              <w:t xml:space="preserve">- Continuar el fortalecimiento de los programas de continuidad de negocio y gestión de activos basados en ISO5500. </w:t>
            </w:r>
            <w:r w:rsidRPr="002E1A3B">
              <w:rPr>
                <w:rFonts w:ascii="Tahoma" w:eastAsia="Aptos Narrow" w:hAnsi="Tahoma" w:cs="Tahoma"/>
                <w:color w:val="000000"/>
                <w:kern w:val="0"/>
                <w:sz w:val="20"/>
                <w:szCs w:val="22"/>
                <w:lang w:val="es-ES" w:eastAsia="es-CO"/>
                <w14:ligatures w14:val="none"/>
              </w:rPr>
              <w:br/>
              <w:t>- Avanzar en la adopción de tecnología más disruptiva con foco en Operación y mantenimiento.</w:t>
            </w:r>
            <w:r w:rsidRPr="002E1A3B">
              <w:rPr>
                <w:rFonts w:ascii="Tahoma" w:eastAsia="Aptos Narrow" w:hAnsi="Tahoma" w:cs="Tahoma"/>
                <w:color w:val="000000"/>
                <w:kern w:val="0"/>
                <w:sz w:val="20"/>
                <w:szCs w:val="22"/>
                <w:lang w:val="es-ES" w:eastAsia="es-CO"/>
                <w14:ligatures w14:val="none"/>
              </w:rPr>
              <w:br/>
              <w:t>- Promover los cambios de política pública y regulación con el objetivo de usar tecnologías más verdes y promover inversiones en la infraestructura actual.</w:t>
            </w:r>
          </w:p>
        </w:tc>
      </w:tr>
      <w:tr w:rsidR="002E1A3B" w:rsidRPr="002E1A3B" w14:paraId="1FB12F37" w14:textId="77777777" w:rsidTr="00955EFE">
        <w:trPr>
          <w:trHeight w:val="4500"/>
        </w:trPr>
        <w:tc>
          <w:tcPr>
            <w:tcW w:w="1837" w:type="dxa"/>
            <w:shd w:val="clear" w:color="auto" w:fill="auto"/>
            <w:vAlign w:val="center"/>
          </w:tcPr>
          <w:p w14:paraId="3D0B7411" w14:textId="77777777" w:rsidR="002E1A3B" w:rsidRPr="002E1A3B" w:rsidRDefault="002E1A3B" w:rsidP="002E1A3B">
            <w:pPr>
              <w:spacing w:after="0" w:line="240" w:lineRule="auto"/>
              <w:rPr>
                <w:rFonts w:ascii="Aptos Narrow" w:eastAsia="Aptos Narrow" w:hAnsi="Aptos Narrow" w:cs="Aptos Narrow"/>
                <w:color w:val="000000"/>
                <w:kern w:val="0"/>
                <w:sz w:val="22"/>
                <w:szCs w:val="22"/>
                <w:lang w:val="es-ES" w:eastAsia="es-CO"/>
                <w14:ligatures w14:val="none"/>
              </w:rPr>
            </w:pPr>
            <w:r w:rsidRPr="002E1A3B">
              <w:rPr>
                <w:rFonts w:ascii="Aptos Narrow" w:eastAsia="Aptos Narrow" w:hAnsi="Aptos Narrow" w:cs="Aptos Narrow"/>
                <w:color w:val="000000"/>
                <w:kern w:val="0"/>
                <w:sz w:val="22"/>
                <w:szCs w:val="22"/>
                <w:lang w:val="es-ES" w:eastAsia="es-CO"/>
                <w14:ligatures w14:val="none"/>
              </w:rPr>
              <w:lastRenderedPageBreak/>
              <w:t>Aceleración desarticulada de la transición energética</w:t>
            </w:r>
          </w:p>
        </w:tc>
        <w:tc>
          <w:tcPr>
            <w:tcW w:w="2693" w:type="dxa"/>
            <w:shd w:val="clear" w:color="auto" w:fill="auto"/>
            <w:vAlign w:val="center"/>
          </w:tcPr>
          <w:p w14:paraId="7B7096AD" w14:textId="77777777" w:rsidR="002E1A3B" w:rsidRPr="002E1A3B" w:rsidRDefault="002E1A3B" w:rsidP="002E1A3B">
            <w:pPr>
              <w:spacing w:after="0" w:line="240" w:lineRule="auto"/>
              <w:jc w:val="center"/>
              <w:rPr>
                <w:rFonts w:ascii="Aptos Narrow" w:eastAsia="Aptos Narrow" w:hAnsi="Aptos Narrow" w:cs="Aptos Narrow"/>
                <w:color w:val="000000"/>
                <w:kern w:val="0"/>
                <w:sz w:val="22"/>
                <w:szCs w:val="22"/>
                <w:lang w:val="es-ES" w:eastAsia="es-CO"/>
                <w14:ligatures w14:val="none"/>
              </w:rPr>
            </w:pPr>
            <w:r w:rsidRPr="002E1A3B">
              <w:rPr>
                <w:rFonts w:ascii="Aptos Narrow" w:eastAsia="Aptos Narrow" w:hAnsi="Aptos Narrow" w:cs="Aptos Narrow"/>
                <w:color w:val="000000"/>
                <w:kern w:val="0"/>
                <w:sz w:val="22"/>
                <w:szCs w:val="22"/>
                <w:lang w:val="es-ES" w:eastAsia="es-CO"/>
                <w14:ligatures w14:val="none"/>
              </w:rPr>
              <w:t>Tecnológica</w:t>
            </w:r>
          </w:p>
        </w:tc>
        <w:tc>
          <w:tcPr>
            <w:tcW w:w="3734" w:type="dxa"/>
            <w:gridSpan w:val="2"/>
            <w:shd w:val="clear" w:color="auto" w:fill="auto"/>
            <w:vAlign w:val="center"/>
          </w:tcPr>
          <w:p w14:paraId="29515745" w14:textId="77777777" w:rsidR="002E1A3B" w:rsidRPr="002E1A3B" w:rsidRDefault="002E1A3B" w:rsidP="002E1A3B">
            <w:pPr>
              <w:spacing w:after="0" w:line="240" w:lineRule="auto"/>
              <w:rPr>
                <w:rFonts w:ascii="Aptos Narrow" w:eastAsia="Aptos Narrow" w:hAnsi="Aptos Narrow" w:cs="Aptos Narrow"/>
                <w:color w:val="000000"/>
                <w:kern w:val="0"/>
                <w:sz w:val="22"/>
                <w:szCs w:val="22"/>
                <w:lang w:val="es-ES" w:eastAsia="es-CO"/>
                <w14:ligatures w14:val="none"/>
              </w:rPr>
            </w:pPr>
            <w:r w:rsidRPr="002E1A3B">
              <w:rPr>
                <w:rFonts w:ascii="Aptos Narrow" w:eastAsia="Aptos Narrow" w:hAnsi="Aptos Narrow" w:cs="Aptos Narrow"/>
                <w:color w:val="000000"/>
                <w:kern w:val="0"/>
                <w:sz w:val="22"/>
                <w:szCs w:val="22"/>
                <w:lang w:val="es-ES" w:eastAsia="es-CO"/>
                <w14:ligatures w14:val="none"/>
              </w:rPr>
              <w:t>Coordinación entre los diferentes actores de la cadena de valor (incluye gobiernos, proveedores, aliados estratégicos, entre otros), adecuación regulatoria y desarrollos tecnológicos, que pueden impactar en los tiempos de la transición energética.</w:t>
            </w:r>
          </w:p>
        </w:tc>
        <w:tc>
          <w:tcPr>
            <w:tcW w:w="2888" w:type="dxa"/>
            <w:gridSpan w:val="2"/>
            <w:shd w:val="clear" w:color="auto" w:fill="auto"/>
            <w:vAlign w:val="center"/>
          </w:tcPr>
          <w:p w14:paraId="308DC59D" w14:textId="77777777" w:rsidR="002E1A3B" w:rsidRPr="002E1A3B" w:rsidRDefault="002E1A3B" w:rsidP="002E1A3B">
            <w:pPr>
              <w:spacing w:after="0" w:line="240" w:lineRule="auto"/>
              <w:rPr>
                <w:rFonts w:ascii="Aptos Narrow" w:eastAsia="Aptos Narrow" w:hAnsi="Aptos Narrow" w:cs="Aptos Narrow"/>
                <w:color w:val="000000"/>
                <w:kern w:val="0"/>
                <w:sz w:val="22"/>
                <w:szCs w:val="22"/>
                <w:lang w:val="es-ES" w:eastAsia="es-CO"/>
                <w14:ligatures w14:val="none"/>
              </w:rPr>
            </w:pPr>
            <w:r w:rsidRPr="002E1A3B">
              <w:rPr>
                <w:rFonts w:ascii="Aptos Narrow" w:eastAsia="Aptos Narrow" w:hAnsi="Aptos Narrow" w:cs="Aptos Narrow"/>
                <w:color w:val="000000"/>
                <w:kern w:val="0"/>
                <w:sz w:val="22"/>
                <w:szCs w:val="22"/>
                <w:lang w:val="es-ES" w:eastAsia="es-CO"/>
                <w14:ligatures w14:val="none"/>
              </w:rPr>
              <w:t>-Surgimiento acelerado de nuevas políticas, tecnologías, presiones sociales y preferencias de los consumidores, debido a presiones externas.</w:t>
            </w:r>
            <w:r w:rsidRPr="002E1A3B">
              <w:rPr>
                <w:rFonts w:ascii="Aptos Narrow" w:eastAsia="Aptos Narrow" w:hAnsi="Aptos Narrow" w:cs="Aptos Narrow"/>
                <w:color w:val="000000"/>
                <w:kern w:val="0"/>
                <w:sz w:val="22"/>
                <w:szCs w:val="22"/>
                <w:lang w:val="es-ES" w:eastAsia="es-CO"/>
                <w14:ligatures w14:val="none"/>
              </w:rPr>
              <w:br/>
              <w:t>-Capacidad de adaptar la estrategia y acompañar las inversiones necesarias.</w:t>
            </w:r>
            <w:r w:rsidRPr="002E1A3B">
              <w:rPr>
                <w:rFonts w:ascii="Aptos Narrow" w:eastAsia="Aptos Narrow" w:hAnsi="Aptos Narrow" w:cs="Aptos Narrow"/>
                <w:color w:val="000000"/>
                <w:kern w:val="0"/>
                <w:sz w:val="22"/>
                <w:szCs w:val="22"/>
                <w:lang w:val="es-ES" w:eastAsia="es-CO"/>
                <w14:ligatures w14:val="none"/>
              </w:rPr>
              <w:br/>
              <w:t>-Atractividad de los negocios de Transmisión de energía como ejes centrales de la transición energética.</w:t>
            </w:r>
            <w:r w:rsidRPr="002E1A3B">
              <w:rPr>
                <w:rFonts w:ascii="Aptos Narrow" w:eastAsia="Aptos Narrow" w:hAnsi="Aptos Narrow" w:cs="Aptos Narrow"/>
                <w:color w:val="000000"/>
                <w:kern w:val="0"/>
                <w:sz w:val="22"/>
                <w:szCs w:val="22"/>
                <w:lang w:val="es-ES" w:eastAsia="es-CO"/>
                <w14:ligatures w14:val="none"/>
              </w:rPr>
              <w:br/>
              <w:t xml:space="preserve">-Falta de planes de transición estructurados. </w:t>
            </w:r>
            <w:r w:rsidRPr="002E1A3B">
              <w:rPr>
                <w:rFonts w:ascii="Aptos Narrow" w:eastAsia="Aptos Narrow" w:hAnsi="Aptos Narrow" w:cs="Aptos Narrow"/>
                <w:color w:val="000000"/>
                <w:kern w:val="0"/>
                <w:sz w:val="22"/>
                <w:szCs w:val="22"/>
                <w:lang w:val="es-ES" w:eastAsia="es-CO"/>
                <w14:ligatures w14:val="none"/>
              </w:rPr>
              <w:br/>
              <w:t>-La falta de articulación entre los actores de la transición puede limitar o desacelerar inversiones en nuevos negocios y tecnologías (por ejemplo, bancos de baterías para almacenamiento de energía).</w:t>
            </w:r>
          </w:p>
        </w:tc>
        <w:tc>
          <w:tcPr>
            <w:tcW w:w="3584" w:type="dxa"/>
            <w:shd w:val="clear" w:color="auto" w:fill="auto"/>
            <w:vAlign w:val="center"/>
          </w:tcPr>
          <w:p w14:paraId="49E2DFD1" w14:textId="77777777" w:rsidR="002E1A3B" w:rsidRPr="002E1A3B" w:rsidRDefault="002E1A3B" w:rsidP="002E1A3B">
            <w:pPr>
              <w:spacing w:after="0" w:line="240" w:lineRule="auto"/>
              <w:rPr>
                <w:rFonts w:ascii="Aptos Narrow" w:eastAsia="Aptos Narrow" w:hAnsi="Aptos Narrow" w:cs="Aptos Narrow"/>
                <w:color w:val="000000"/>
                <w:kern w:val="0"/>
                <w:sz w:val="22"/>
                <w:szCs w:val="22"/>
                <w:lang w:val="es-ES" w:eastAsia="es-CO"/>
                <w14:ligatures w14:val="none"/>
              </w:rPr>
            </w:pPr>
            <w:r w:rsidRPr="002E1A3B">
              <w:rPr>
                <w:rFonts w:ascii="Aptos Narrow" w:eastAsia="Aptos Narrow" w:hAnsi="Aptos Narrow" w:cs="Aptos Narrow"/>
                <w:color w:val="000000"/>
                <w:kern w:val="0"/>
                <w:sz w:val="22"/>
                <w:szCs w:val="22"/>
                <w:lang w:val="es-ES" w:eastAsia="es-CO"/>
                <w14:ligatures w14:val="none"/>
              </w:rPr>
              <w:t>-Revisión del modelo de negocio para identificación de riesgos y oportunidades bajo escenarios de transición y construcción de una estrategia “bajo incertidumbre”.</w:t>
            </w:r>
            <w:r w:rsidRPr="002E1A3B">
              <w:rPr>
                <w:rFonts w:ascii="Aptos Narrow" w:eastAsia="Aptos Narrow" w:hAnsi="Aptos Narrow" w:cs="Aptos Narrow"/>
                <w:color w:val="000000"/>
                <w:kern w:val="0"/>
                <w:sz w:val="22"/>
                <w:szCs w:val="22"/>
                <w:lang w:val="es-ES" w:eastAsia="es-CO"/>
                <w14:ligatures w14:val="none"/>
              </w:rPr>
              <w:br/>
              <w:t>- Incorporación de un nuevo negocio: SED- Soluciones Energéticas Distribuidos.</w:t>
            </w:r>
          </w:p>
        </w:tc>
      </w:tr>
    </w:tbl>
    <w:p w14:paraId="6B6D2619" w14:textId="77777777" w:rsidR="002E1A3B" w:rsidRPr="002E1A3B" w:rsidRDefault="002E1A3B" w:rsidP="002E1A3B">
      <w:pPr>
        <w:spacing w:after="0" w:line="240" w:lineRule="auto"/>
        <w:rPr>
          <w:rFonts w:ascii="Tahoma" w:eastAsia="Tahoma" w:hAnsi="Tahoma" w:cs="Tahoma"/>
          <w:color w:val="002060"/>
          <w:kern w:val="0"/>
          <w:sz w:val="28"/>
          <w:szCs w:val="28"/>
          <w:lang w:val="es-ES" w:eastAsia="es-CO"/>
          <w14:ligatures w14:val="none"/>
        </w:rPr>
      </w:pPr>
    </w:p>
    <w:p w14:paraId="555B741C" w14:textId="77777777" w:rsidR="002E1A3B" w:rsidRPr="002E1A3B" w:rsidRDefault="002E1A3B" w:rsidP="002E1A3B">
      <w:pPr>
        <w:spacing w:before="220" w:after="0" w:line="240" w:lineRule="auto"/>
        <w:ind w:right="160"/>
        <w:jc w:val="both"/>
        <w:rPr>
          <w:rFonts w:ascii="Tahoma" w:eastAsia="Tahoma" w:hAnsi="Tahoma" w:cs="Tahoma"/>
          <w:b/>
          <w:color w:val="002060"/>
          <w:kern w:val="0"/>
          <w:lang w:val="es-ES" w:eastAsia="es-CO"/>
          <w14:ligatures w14:val="none"/>
        </w:rPr>
      </w:pPr>
    </w:p>
    <w:p w14:paraId="308226B9" w14:textId="77777777" w:rsidR="002E1A3B" w:rsidRPr="002E1A3B" w:rsidRDefault="002E1A3B" w:rsidP="002E1A3B">
      <w:pPr>
        <w:spacing w:before="220" w:after="0" w:line="240" w:lineRule="auto"/>
        <w:ind w:right="160"/>
        <w:jc w:val="both"/>
        <w:rPr>
          <w:rFonts w:ascii="Tahoma" w:eastAsia="Tahoma" w:hAnsi="Tahoma" w:cs="Tahoma"/>
          <w:b/>
          <w:color w:val="002060"/>
          <w:kern w:val="0"/>
          <w:lang w:val="es-ES" w:eastAsia="es-CO"/>
          <w14:ligatures w14:val="none"/>
        </w:rPr>
      </w:pPr>
    </w:p>
    <w:p w14:paraId="0C1444CD" w14:textId="77777777" w:rsidR="002E1A3B" w:rsidRPr="002E1A3B" w:rsidRDefault="002E1A3B" w:rsidP="002E1A3B">
      <w:pPr>
        <w:spacing w:before="220" w:after="0" w:line="240" w:lineRule="auto"/>
        <w:ind w:right="160"/>
        <w:jc w:val="both"/>
        <w:rPr>
          <w:rFonts w:ascii="Tahoma" w:eastAsia="Tahoma" w:hAnsi="Tahoma" w:cs="Tahoma"/>
          <w:b/>
          <w:color w:val="002060"/>
          <w:kern w:val="0"/>
          <w:lang w:val="es-ES" w:eastAsia="es-CO"/>
          <w14:ligatures w14:val="none"/>
        </w:rPr>
      </w:pPr>
    </w:p>
    <w:p w14:paraId="00A02BCB" w14:textId="77777777" w:rsidR="002E1A3B" w:rsidRPr="00B83A53" w:rsidRDefault="002E1A3B" w:rsidP="002E1A3B">
      <w:pPr>
        <w:spacing w:before="220" w:after="0" w:line="240" w:lineRule="auto"/>
        <w:ind w:right="160"/>
        <w:jc w:val="both"/>
        <w:rPr>
          <w:rFonts w:ascii="Tahoma" w:eastAsia="Tahoma" w:hAnsi="Tahoma" w:cs="Tahoma"/>
          <w:b/>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lastRenderedPageBreak/>
        <w:t>Riesgos empresariales  </w:t>
      </w:r>
    </w:p>
    <w:tbl>
      <w:tblPr>
        <w:tblW w:w="13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4"/>
        <w:gridCol w:w="1577"/>
        <w:gridCol w:w="3422"/>
        <w:gridCol w:w="2487"/>
        <w:gridCol w:w="2512"/>
        <w:gridCol w:w="1310"/>
      </w:tblGrid>
      <w:tr w:rsidR="002E1A3B" w:rsidRPr="002E1A3B" w14:paraId="028E1645" w14:textId="77777777" w:rsidTr="00955EFE">
        <w:trPr>
          <w:trHeight w:val="660"/>
        </w:trPr>
        <w:tc>
          <w:tcPr>
            <w:tcW w:w="2684" w:type="dxa"/>
            <w:shd w:val="clear" w:color="auto" w:fill="002060"/>
            <w:vAlign w:val="center"/>
          </w:tcPr>
          <w:p w14:paraId="1BBCAA85"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Riesgos empresariales</w:t>
            </w:r>
          </w:p>
        </w:tc>
        <w:tc>
          <w:tcPr>
            <w:tcW w:w="1577" w:type="dxa"/>
            <w:shd w:val="clear" w:color="auto" w:fill="002060"/>
            <w:vAlign w:val="center"/>
          </w:tcPr>
          <w:p w14:paraId="2FE66465"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Categoría del riesgo</w:t>
            </w:r>
          </w:p>
        </w:tc>
        <w:tc>
          <w:tcPr>
            <w:tcW w:w="3422" w:type="dxa"/>
            <w:shd w:val="clear" w:color="auto" w:fill="002060"/>
            <w:vAlign w:val="center"/>
          </w:tcPr>
          <w:p w14:paraId="34A63EE3"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Acciones</w:t>
            </w:r>
          </w:p>
        </w:tc>
        <w:tc>
          <w:tcPr>
            <w:tcW w:w="2487" w:type="dxa"/>
            <w:shd w:val="clear" w:color="auto" w:fill="002060"/>
            <w:vAlign w:val="center"/>
          </w:tcPr>
          <w:p w14:paraId="68C75188"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Asunto material</w:t>
            </w:r>
          </w:p>
        </w:tc>
        <w:tc>
          <w:tcPr>
            <w:tcW w:w="2512" w:type="dxa"/>
            <w:shd w:val="clear" w:color="auto" w:fill="002060"/>
            <w:vAlign w:val="center"/>
          </w:tcPr>
          <w:p w14:paraId="418FC667"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Recurso valorado</w:t>
            </w:r>
          </w:p>
        </w:tc>
        <w:tc>
          <w:tcPr>
            <w:tcW w:w="1310" w:type="dxa"/>
            <w:shd w:val="clear" w:color="auto" w:fill="002060"/>
            <w:vAlign w:val="center"/>
          </w:tcPr>
          <w:p w14:paraId="43BB468B" w14:textId="77777777" w:rsidR="002E1A3B" w:rsidRPr="002E1A3B" w:rsidRDefault="002E1A3B" w:rsidP="002E1A3B">
            <w:pPr>
              <w:spacing w:after="0" w:line="240" w:lineRule="auto"/>
              <w:jc w:val="center"/>
              <w:rPr>
                <w:rFonts w:ascii="Arial" w:eastAsia="Arial" w:hAnsi="Arial" w:cs="Arial"/>
                <w:b/>
                <w:color w:val="FFFFFF"/>
                <w:kern w:val="0"/>
                <w:sz w:val="20"/>
                <w:szCs w:val="20"/>
                <w:lang w:val="es-ES" w:eastAsia="es-CO"/>
                <w14:ligatures w14:val="none"/>
              </w:rPr>
            </w:pPr>
            <w:r w:rsidRPr="002E1A3B">
              <w:rPr>
                <w:rFonts w:ascii="Arial" w:eastAsia="Arial" w:hAnsi="Arial" w:cs="Arial"/>
                <w:b/>
                <w:color w:val="FFFFFF"/>
                <w:kern w:val="0"/>
                <w:sz w:val="20"/>
                <w:szCs w:val="20"/>
                <w:lang w:val="es-ES" w:eastAsia="es-CO"/>
                <w14:ligatures w14:val="none"/>
              </w:rPr>
              <w:t>Nivel de riesgo</w:t>
            </w:r>
          </w:p>
        </w:tc>
      </w:tr>
      <w:tr w:rsidR="002E1A3B" w:rsidRPr="002E1A3B" w14:paraId="0E4399F9" w14:textId="77777777" w:rsidTr="00955EFE">
        <w:trPr>
          <w:trHeight w:val="5700"/>
        </w:trPr>
        <w:tc>
          <w:tcPr>
            <w:tcW w:w="2684" w:type="dxa"/>
            <w:shd w:val="clear" w:color="auto" w:fill="auto"/>
            <w:vAlign w:val="center"/>
          </w:tcPr>
          <w:p w14:paraId="1FF90B64"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Accidentes en zona de servidumbre.</w:t>
            </w:r>
          </w:p>
        </w:tc>
        <w:tc>
          <w:tcPr>
            <w:tcW w:w="1577" w:type="dxa"/>
            <w:shd w:val="clear" w:color="auto" w:fill="auto"/>
            <w:vAlign w:val="center"/>
          </w:tcPr>
          <w:p w14:paraId="3036C942"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 Social</w:t>
            </w:r>
          </w:p>
        </w:tc>
        <w:tc>
          <w:tcPr>
            <w:tcW w:w="3422" w:type="dxa"/>
            <w:shd w:val="clear" w:color="auto" w:fill="auto"/>
            <w:vAlign w:val="center"/>
          </w:tcPr>
          <w:p w14:paraId="40D3AFDC"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 Reforzamiento de infraestructura. </w:t>
            </w:r>
            <w:r w:rsidRPr="002E1A3B">
              <w:rPr>
                <w:rFonts w:ascii="Arial" w:eastAsia="Arial" w:hAnsi="Arial" w:cs="Arial"/>
                <w:kern w:val="0"/>
                <w:sz w:val="20"/>
                <w:szCs w:val="20"/>
                <w:lang w:val="es-ES" w:eastAsia="es-CO"/>
                <w14:ligatures w14:val="none"/>
              </w:rPr>
              <w:br/>
              <w:t>- Revisiones con mayor periodicidad en zonas con servidumbre invadidas</w:t>
            </w:r>
            <w:r w:rsidRPr="002E1A3B">
              <w:rPr>
                <w:rFonts w:ascii="Arial" w:eastAsia="Arial" w:hAnsi="Arial" w:cs="Arial"/>
                <w:kern w:val="0"/>
                <w:sz w:val="20"/>
                <w:szCs w:val="20"/>
                <w:lang w:val="es-ES" w:eastAsia="es-CO"/>
                <w14:ligatures w14:val="none"/>
              </w:rPr>
              <w:br/>
              <w:t xml:space="preserve">- Denuncias de hurto de angulería ante autoridades competentes. </w:t>
            </w:r>
            <w:r w:rsidRPr="002E1A3B">
              <w:rPr>
                <w:rFonts w:ascii="Arial" w:eastAsia="Arial" w:hAnsi="Arial" w:cs="Arial"/>
                <w:kern w:val="0"/>
                <w:sz w:val="20"/>
                <w:szCs w:val="20"/>
                <w:lang w:val="es-ES" w:eastAsia="es-CO"/>
                <w14:ligatures w14:val="none"/>
              </w:rPr>
              <w:br/>
              <w:t>-Acercamiento con la comunidad vecinas sensibilizando acerca de convivencia pacífica con las infraestructuras.</w:t>
            </w:r>
            <w:r w:rsidRPr="002E1A3B">
              <w:rPr>
                <w:rFonts w:ascii="Arial" w:eastAsia="Arial" w:hAnsi="Arial" w:cs="Arial"/>
                <w:kern w:val="0"/>
                <w:sz w:val="20"/>
                <w:szCs w:val="20"/>
                <w:lang w:val="es-ES" w:eastAsia="es-CO"/>
                <w14:ligatures w14:val="none"/>
              </w:rPr>
              <w:br/>
              <w:t xml:space="preserve"> -Estudios para verificar niveles máximos de operación en las líneas de transmisión.</w:t>
            </w:r>
            <w:r w:rsidRPr="002E1A3B">
              <w:rPr>
                <w:rFonts w:ascii="Arial" w:eastAsia="Arial" w:hAnsi="Arial" w:cs="Arial"/>
                <w:kern w:val="0"/>
                <w:sz w:val="20"/>
                <w:szCs w:val="20"/>
                <w:lang w:val="es-ES" w:eastAsia="es-CO"/>
                <w14:ligatures w14:val="none"/>
              </w:rPr>
              <w:br/>
              <w:t xml:space="preserve">-Instalación de doble cadena de aisladores de vanos críticos. </w:t>
            </w:r>
            <w:r w:rsidRPr="002E1A3B">
              <w:rPr>
                <w:rFonts w:ascii="Arial" w:eastAsia="Arial" w:hAnsi="Arial" w:cs="Arial"/>
                <w:kern w:val="0"/>
                <w:sz w:val="20"/>
                <w:szCs w:val="20"/>
                <w:lang w:val="es-ES" w:eastAsia="es-CO"/>
                <w14:ligatures w14:val="none"/>
              </w:rPr>
              <w:br/>
              <w:t>- Sistema de detección acercamientos vegetación/viviendas.</w:t>
            </w:r>
            <w:r w:rsidRPr="002E1A3B">
              <w:rPr>
                <w:rFonts w:ascii="Arial" w:eastAsia="Arial" w:hAnsi="Arial" w:cs="Arial"/>
                <w:kern w:val="0"/>
                <w:sz w:val="20"/>
                <w:szCs w:val="20"/>
                <w:lang w:val="es-ES" w:eastAsia="es-CO"/>
                <w14:ligatures w14:val="none"/>
              </w:rPr>
              <w:br/>
              <w:t>- Rutas de inspección periódicas de franjas de servidumbre parar detección temprana de construcciones, invasiones, cultivos entre otros.</w:t>
            </w:r>
            <w:r w:rsidRPr="002E1A3B">
              <w:rPr>
                <w:rFonts w:ascii="Arial" w:eastAsia="Arial" w:hAnsi="Arial" w:cs="Arial"/>
                <w:kern w:val="0"/>
                <w:sz w:val="20"/>
                <w:szCs w:val="20"/>
                <w:lang w:val="es-ES" w:eastAsia="es-CO"/>
                <w14:ligatures w14:val="none"/>
              </w:rPr>
              <w:br/>
              <w:t>- Fortalecimiento de labores de mantenimiento de líneas de transmisión con invasión de servidumbres.</w:t>
            </w:r>
          </w:p>
        </w:tc>
        <w:tc>
          <w:tcPr>
            <w:tcW w:w="2487" w:type="dxa"/>
            <w:shd w:val="clear" w:color="auto" w:fill="auto"/>
            <w:vAlign w:val="center"/>
          </w:tcPr>
          <w:p w14:paraId="140E5E52"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Excelencia</w:t>
            </w:r>
          </w:p>
        </w:tc>
        <w:tc>
          <w:tcPr>
            <w:tcW w:w="2512" w:type="dxa"/>
            <w:shd w:val="clear" w:color="auto" w:fill="auto"/>
            <w:vAlign w:val="center"/>
          </w:tcPr>
          <w:p w14:paraId="064529A3"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Financiero, Reputacional y Personas</w:t>
            </w:r>
          </w:p>
        </w:tc>
        <w:tc>
          <w:tcPr>
            <w:tcW w:w="1310" w:type="dxa"/>
            <w:shd w:val="clear" w:color="auto" w:fill="auto"/>
            <w:vAlign w:val="center"/>
          </w:tcPr>
          <w:p w14:paraId="265B0E62"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 Alto.</w:t>
            </w:r>
          </w:p>
        </w:tc>
      </w:tr>
      <w:tr w:rsidR="002E1A3B" w:rsidRPr="002E1A3B" w14:paraId="4DB7D14A" w14:textId="77777777" w:rsidTr="00955EFE">
        <w:trPr>
          <w:trHeight w:val="1500"/>
        </w:trPr>
        <w:tc>
          <w:tcPr>
            <w:tcW w:w="2684" w:type="dxa"/>
            <w:shd w:val="clear" w:color="auto" w:fill="auto"/>
            <w:vAlign w:val="center"/>
          </w:tcPr>
          <w:p w14:paraId="5276AD2A"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lastRenderedPageBreak/>
              <w:t>No remuneración de las inversiones necesarias para aumentar los niveles de corto circuito en las subestaciones.</w:t>
            </w:r>
          </w:p>
        </w:tc>
        <w:tc>
          <w:tcPr>
            <w:tcW w:w="1577" w:type="dxa"/>
            <w:shd w:val="clear" w:color="auto" w:fill="auto"/>
            <w:vAlign w:val="center"/>
          </w:tcPr>
          <w:p w14:paraId="2DDDF794"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Operación de los negocios.</w:t>
            </w:r>
          </w:p>
        </w:tc>
        <w:tc>
          <w:tcPr>
            <w:tcW w:w="3422" w:type="dxa"/>
            <w:shd w:val="clear" w:color="auto" w:fill="auto"/>
            <w:vAlign w:val="center"/>
          </w:tcPr>
          <w:p w14:paraId="376FC202"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Consultoría para determinar las actividades para la adecuación de la subestación por incremento de la corriente de cortocircuito.</w:t>
            </w:r>
          </w:p>
        </w:tc>
        <w:tc>
          <w:tcPr>
            <w:tcW w:w="2487" w:type="dxa"/>
            <w:shd w:val="clear" w:color="auto" w:fill="auto"/>
            <w:vAlign w:val="center"/>
          </w:tcPr>
          <w:p w14:paraId="55728704"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Estrategia adecuada de crecimiento</w:t>
            </w:r>
            <w:r w:rsidRPr="002E1A3B">
              <w:rPr>
                <w:rFonts w:ascii="Arial" w:eastAsia="Arial" w:hAnsi="Arial" w:cs="Arial"/>
                <w:kern w:val="0"/>
                <w:sz w:val="20"/>
                <w:szCs w:val="20"/>
                <w:lang w:val="es-ES" w:eastAsia="es-CO"/>
                <w14:ligatures w14:val="none"/>
              </w:rPr>
              <w:br/>
              <w:t>Excelencia</w:t>
            </w:r>
          </w:p>
        </w:tc>
        <w:tc>
          <w:tcPr>
            <w:tcW w:w="2512" w:type="dxa"/>
            <w:shd w:val="clear" w:color="auto" w:fill="auto"/>
            <w:vAlign w:val="center"/>
          </w:tcPr>
          <w:p w14:paraId="25B27873"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Financiero </w:t>
            </w:r>
          </w:p>
        </w:tc>
        <w:tc>
          <w:tcPr>
            <w:tcW w:w="1310" w:type="dxa"/>
            <w:shd w:val="clear" w:color="auto" w:fill="auto"/>
            <w:vAlign w:val="center"/>
          </w:tcPr>
          <w:p w14:paraId="4AC39F01"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Alto.</w:t>
            </w:r>
          </w:p>
        </w:tc>
      </w:tr>
      <w:tr w:rsidR="002E1A3B" w:rsidRPr="002E1A3B" w14:paraId="7CC33A36" w14:textId="77777777" w:rsidTr="00955EFE">
        <w:trPr>
          <w:trHeight w:val="4845"/>
        </w:trPr>
        <w:tc>
          <w:tcPr>
            <w:tcW w:w="2684" w:type="dxa"/>
            <w:shd w:val="clear" w:color="auto" w:fill="auto"/>
            <w:vAlign w:val="center"/>
          </w:tcPr>
          <w:p w14:paraId="1FE4DB40"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Afectación a la demanda por tiempos de recuperación del servicio</w:t>
            </w:r>
          </w:p>
        </w:tc>
        <w:tc>
          <w:tcPr>
            <w:tcW w:w="1577" w:type="dxa"/>
            <w:shd w:val="clear" w:color="auto" w:fill="auto"/>
            <w:vAlign w:val="center"/>
          </w:tcPr>
          <w:p w14:paraId="29BBF826"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Operación de los negocios.</w:t>
            </w:r>
          </w:p>
        </w:tc>
        <w:tc>
          <w:tcPr>
            <w:tcW w:w="3422" w:type="dxa"/>
            <w:shd w:val="clear" w:color="auto" w:fill="auto"/>
            <w:vAlign w:val="center"/>
          </w:tcPr>
          <w:p w14:paraId="2B2B91BD"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Planes de contingencia</w:t>
            </w:r>
            <w:r w:rsidRPr="002E1A3B">
              <w:rPr>
                <w:rFonts w:ascii="Arial" w:eastAsia="Arial" w:hAnsi="Arial" w:cs="Arial"/>
                <w:kern w:val="0"/>
                <w:sz w:val="20"/>
                <w:szCs w:val="20"/>
                <w:lang w:val="es-ES" w:eastAsia="es-CO"/>
                <w14:ligatures w14:val="none"/>
              </w:rPr>
              <w:br/>
              <w:t>- Disponibilidad de repuestos</w:t>
            </w:r>
            <w:r w:rsidRPr="002E1A3B">
              <w:rPr>
                <w:rFonts w:ascii="Arial" w:eastAsia="Arial" w:hAnsi="Arial" w:cs="Arial"/>
                <w:kern w:val="0"/>
                <w:sz w:val="20"/>
                <w:szCs w:val="20"/>
                <w:lang w:val="es-ES" w:eastAsia="es-CO"/>
                <w14:ligatures w14:val="none"/>
              </w:rPr>
              <w:br/>
              <w:t>- MIC (Modelo Integrado de Corrosión)</w:t>
            </w:r>
            <w:r w:rsidRPr="002E1A3B">
              <w:rPr>
                <w:rFonts w:ascii="Arial" w:eastAsia="Arial" w:hAnsi="Arial" w:cs="Arial"/>
                <w:kern w:val="0"/>
                <w:sz w:val="20"/>
                <w:szCs w:val="20"/>
                <w:lang w:val="es-ES" w:eastAsia="es-CO"/>
                <w14:ligatures w14:val="none"/>
              </w:rPr>
              <w:br/>
              <w:t>- MCC (Mantenimiento Centrado en Confiabilidad)</w:t>
            </w:r>
            <w:r w:rsidRPr="002E1A3B">
              <w:rPr>
                <w:rFonts w:ascii="Arial" w:eastAsia="Arial" w:hAnsi="Arial" w:cs="Arial"/>
                <w:kern w:val="0"/>
                <w:sz w:val="20"/>
                <w:szCs w:val="20"/>
                <w:lang w:val="es-ES" w:eastAsia="es-CO"/>
                <w14:ligatures w14:val="none"/>
              </w:rPr>
              <w:br/>
              <w:t>- Inspecciones operativas diarias</w:t>
            </w:r>
            <w:r w:rsidRPr="002E1A3B">
              <w:rPr>
                <w:rFonts w:ascii="Arial" w:eastAsia="Arial" w:hAnsi="Arial" w:cs="Arial"/>
                <w:kern w:val="0"/>
                <w:sz w:val="20"/>
                <w:szCs w:val="20"/>
                <w:lang w:val="es-ES" w:eastAsia="es-CO"/>
                <w14:ligatures w14:val="none"/>
              </w:rPr>
              <w:br/>
              <w:t>- Procedimientos operativos</w:t>
            </w:r>
            <w:r w:rsidRPr="002E1A3B">
              <w:rPr>
                <w:rFonts w:ascii="Arial" w:eastAsia="Arial" w:hAnsi="Arial" w:cs="Arial"/>
                <w:kern w:val="0"/>
                <w:sz w:val="20"/>
                <w:szCs w:val="20"/>
                <w:lang w:val="es-ES" w:eastAsia="es-CO"/>
                <w14:ligatures w14:val="none"/>
              </w:rPr>
              <w:br/>
              <w:t>- Revisión periódica de mantenimiento con base en criticidad y condiciones especiales de operación de ciertos activos</w:t>
            </w:r>
            <w:r w:rsidRPr="002E1A3B">
              <w:rPr>
                <w:rFonts w:ascii="Arial" w:eastAsia="Arial" w:hAnsi="Arial" w:cs="Arial"/>
                <w:kern w:val="0"/>
                <w:sz w:val="20"/>
                <w:szCs w:val="20"/>
                <w:lang w:val="es-ES" w:eastAsia="es-CO"/>
                <w14:ligatures w14:val="none"/>
              </w:rPr>
              <w:br/>
              <w:t>- Ejecución del Proyecto mejora de confiabilidad por entorno operativo</w:t>
            </w:r>
            <w:r w:rsidRPr="002E1A3B">
              <w:rPr>
                <w:rFonts w:ascii="Arial" w:eastAsia="Arial" w:hAnsi="Arial" w:cs="Arial"/>
                <w:kern w:val="0"/>
                <w:sz w:val="20"/>
                <w:szCs w:val="20"/>
                <w:lang w:val="es-ES" w:eastAsia="es-CO"/>
                <w14:ligatures w14:val="none"/>
              </w:rPr>
              <w:br/>
              <w:t>- Comunicación a las autoridades del sector sobre la necesidad de reconfigurar subestaciones y de no seguir incrementando la topología de anillos y/o de barras.</w:t>
            </w:r>
            <w:r w:rsidRPr="002E1A3B">
              <w:rPr>
                <w:rFonts w:ascii="Arial" w:eastAsia="Arial" w:hAnsi="Arial" w:cs="Arial"/>
                <w:kern w:val="0"/>
                <w:sz w:val="20"/>
                <w:szCs w:val="20"/>
                <w:lang w:val="es-ES" w:eastAsia="es-CO"/>
                <w14:ligatures w14:val="none"/>
              </w:rPr>
              <w:br/>
              <w:t>- Atención remota en subestaciones.</w:t>
            </w:r>
          </w:p>
        </w:tc>
        <w:tc>
          <w:tcPr>
            <w:tcW w:w="2487" w:type="dxa"/>
            <w:shd w:val="clear" w:color="auto" w:fill="auto"/>
            <w:vAlign w:val="center"/>
          </w:tcPr>
          <w:p w14:paraId="4182C186"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Estrategia adecuada de crecimiento</w:t>
            </w:r>
            <w:r w:rsidRPr="002E1A3B">
              <w:rPr>
                <w:rFonts w:ascii="Arial" w:eastAsia="Arial" w:hAnsi="Arial" w:cs="Arial"/>
                <w:kern w:val="0"/>
                <w:sz w:val="20"/>
                <w:szCs w:val="20"/>
                <w:lang w:val="es-ES" w:eastAsia="es-CO"/>
                <w14:ligatures w14:val="none"/>
              </w:rPr>
              <w:br/>
              <w:t>Excelencia</w:t>
            </w:r>
          </w:p>
        </w:tc>
        <w:tc>
          <w:tcPr>
            <w:tcW w:w="2512" w:type="dxa"/>
            <w:shd w:val="clear" w:color="auto" w:fill="auto"/>
            <w:vAlign w:val="center"/>
          </w:tcPr>
          <w:p w14:paraId="5046FE8E"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Financiero, reputacional y humano</w:t>
            </w:r>
          </w:p>
        </w:tc>
        <w:tc>
          <w:tcPr>
            <w:tcW w:w="1310" w:type="dxa"/>
            <w:shd w:val="clear" w:color="auto" w:fill="auto"/>
            <w:vAlign w:val="center"/>
          </w:tcPr>
          <w:p w14:paraId="4EA0755C"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 Alto</w:t>
            </w:r>
          </w:p>
        </w:tc>
      </w:tr>
      <w:tr w:rsidR="002E1A3B" w:rsidRPr="002E1A3B" w14:paraId="5BFA0147" w14:textId="77777777" w:rsidTr="00955EFE">
        <w:trPr>
          <w:trHeight w:val="1140"/>
        </w:trPr>
        <w:tc>
          <w:tcPr>
            <w:tcW w:w="2684" w:type="dxa"/>
            <w:shd w:val="clear" w:color="auto" w:fill="auto"/>
            <w:vAlign w:val="center"/>
          </w:tcPr>
          <w:p w14:paraId="689D2A1E"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Incumplimiento de cartera en los servicios de Conexión y en el Sistema de Transmisión Nacional - STN por parte de los operadores de Red. </w:t>
            </w:r>
          </w:p>
        </w:tc>
        <w:tc>
          <w:tcPr>
            <w:tcW w:w="1577" w:type="dxa"/>
            <w:shd w:val="clear" w:color="auto" w:fill="auto"/>
            <w:vAlign w:val="center"/>
          </w:tcPr>
          <w:p w14:paraId="7065AE84"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Mercado, liquidez y crédito.</w:t>
            </w:r>
          </w:p>
        </w:tc>
        <w:tc>
          <w:tcPr>
            <w:tcW w:w="3422" w:type="dxa"/>
            <w:shd w:val="clear" w:color="auto" w:fill="auto"/>
            <w:vAlign w:val="center"/>
          </w:tcPr>
          <w:p w14:paraId="07E4F432"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-Seguimiento a los estados financieros </w:t>
            </w:r>
            <w:r w:rsidRPr="002E1A3B">
              <w:rPr>
                <w:rFonts w:ascii="Arial" w:eastAsia="Arial" w:hAnsi="Arial" w:cs="Arial"/>
                <w:kern w:val="0"/>
                <w:sz w:val="20"/>
                <w:szCs w:val="20"/>
                <w:lang w:val="es-ES" w:eastAsia="es-CO"/>
                <w14:ligatures w14:val="none"/>
              </w:rPr>
              <w:br/>
              <w:t>-Cobranza preventiva y administrativa de la cartera</w:t>
            </w:r>
          </w:p>
        </w:tc>
        <w:tc>
          <w:tcPr>
            <w:tcW w:w="2487" w:type="dxa"/>
            <w:shd w:val="clear" w:color="auto" w:fill="auto"/>
            <w:vAlign w:val="center"/>
          </w:tcPr>
          <w:p w14:paraId="7578C767"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Objetivos financieros y de negocio</w:t>
            </w:r>
            <w:r w:rsidRPr="002E1A3B">
              <w:rPr>
                <w:rFonts w:ascii="Arial" w:eastAsia="Arial" w:hAnsi="Arial" w:cs="Arial"/>
                <w:kern w:val="0"/>
                <w:sz w:val="20"/>
                <w:szCs w:val="20"/>
                <w:lang w:val="es-ES" w:eastAsia="es-CO"/>
                <w14:ligatures w14:val="none"/>
              </w:rPr>
              <w:br/>
              <w:t>Estrategia adecuada de crecimiento</w:t>
            </w:r>
          </w:p>
        </w:tc>
        <w:tc>
          <w:tcPr>
            <w:tcW w:w="2512" w:type="dxa"/>
            <w:shd w:val="clear" w:color="auto" w:fill="auto"/>
            <w:vAlign w:val="center"/>
          </w:tcPr>
          <w:p w14:paraId="35869ED3"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Financiero</w:t>
            </w:r>
          </w:p>
        </w:tc>
        <w:tc>
          <w:tcPr>
            <w:tcW w:w="1310" w:type="dxa"/>
            <w:shd w:val="clear" w:color="auto" w:fill="auto"/>
            <w:vAlign w:val="center"/>
          </w:tcPr>
          <w:p w14:paraId="0887C76B"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Alto</w:t>
            </w:r>
          </w:p>
        </w:tc>
      </w:tr>
      <w:tr w:rsidR="002E1A3B" w:rsidRPr="002E1A3B" w14:paraId="3E8DD823" w14:textId="77777777" w:rsidTr="00955EFE">
        <w:trPr>
          <w:trHeight w:val="7980"/>
        </w:trPr>
        <w:tc>
          <w:tcPr>
            <w:tcW w:w="2684" w:type="dxa"/>
            <w:shd w:val="clear" w:color="auto" w:fill="auto"/>
            <w:vAlign w:val="center"/>
          </w:tcPr>
          <w:p w14:paraId="210FDD7B"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lastRenderedPageBreak/>
              <w:t>Ataques cibernéticos que genere indisponibilidad en la operación o pérdida de información crítica</w:t>
            </w:r>
          </w:p>
        </w:tc>
        <w:tc>
          <w:tcPr>
            <w:tcW w:w="1577" w:type="dxa"/>
            <w:shd w:val="clear" w:color="auto" w:fill="auto"/>
            <w:vAlign w:val="center"/>
          </w:tcPr>
          <w:p w14:paraId="78B0859B"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Ciberseguridad y tecnologías de información.</w:t>
            </w:r>
          </w:p>
        </w:tc>
        <w:tc>
          <w:tcPr>
            <w:tcW w:w="3422" w:type="dxa"/>
            <w:shd w:val="clear" w:color="auto" w:fill="auto"/>
            <w:vAlign w:val="center"/>
          </w:tcPr>
          <w:p w14:paraId="270287EB" w14:textId="77777777" w:rsidR="002E1A3B" w:rsidRPr="002E1A3B" w:rsidRDefault="002E1A3B" w:rsidP="002E1A3B">
            <w:pPr>
              <w:spacing w:after="0" w:line="240" w:lineRule="auto"/>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-Infraestructura de seguridad de TI   (Firewall, IPS, antispam , antivirus con funcionalidad EDR, control de contenidos).</w:t>
            </w:r>
            <w:r w:rsidRPr="002E1A3B">
              <w:rPr>
                <w:rFonts w:ascii="Arial" w:eastAsia="Arial" w:hAnsi="Arial" w:cs="Arial"/>
                <w:kern w:val="0"/>
                <w:sz w:val="20"/>
                <w:szCs w:val="20"/>
                <w:lang w:val="es-ES" w:eastAsia="es-CO"/>
                <w14:ligatures w14:val="none"/>
              </w:rPr>
              <w:br/>
              <w:t>- líneas base de seguridad y aplicación de buenas prácticas.</w:t>
            </w:r>
            <w:r w:rsidRPr="002E1A3B">
              <w:rPr>
                <w:rFonts w:ascii="Arial" w:eastAsia="Arial" w:hAnsi="Arial" w:cs="Arial"/>
                <w:kern w:val="0"/>
                <w:sz w:val="20"/>
                <w:szCs w:val="20"/>
                <w:lang w:val="es-ES" w:eastAsia="es-CO"/>
                <w14:ligatures w14:val="none"/>
              </w:rPr>
              <w:br/>
              <w:t>-Actualizaciones de software, IOS (Parches, sistemas operativos de servidores,  equipos de  red,  TI/IoT)</w:t>
            </w:r>
            <w:r w:rsidRPr="002E1A3B">
              <w:rPr>
                <w:rFonts w:ascii="Arial" w:eastAsia="Arial" w:hAnsi="Arial" w:cs="Arial"/>
                <w:kern w:val="0"/>
                <w:sz w:val="20"/>
                <w:szCs w:val="20"/>
                <w:lang w:val="es-ES" w:eastAsia="es-CO"/>
                <w14:ligatures w14:val="none"/>
              </w:rPr>
              <w:br/>
              <w:t>- Divulgación continua de buenas  prácticas a los usuarios y promover cultura de seguridad de TI.</w:t>
            </w:r>
            <w:r w:rsidRPr="002E1A3B">
              <w:rPr>
                <w:rFonts w:ascii="Arial" w:eastAsia="Arial" w:hAnsi="Arial" w:cs="Arial"/>
                <w:kern w:val="0"/>
                <w:sz w:val="20"/>
                <w:szCs w:val="20"/>
                <w:lang w:val="es-ES" w:eastAsia="es-CO"/>
                <w14:ligatures w14:val="none"/>
              </w:rPr>
              <w:br/>
              <w:t>-Divulgación de políticas de uso y gestión de contraseñas.</w:t>
            </w:r>
            <w:r w:rsidRPr="002E1A3B">
              <w:rPr>
                <w:rFonts w:ascii="Arial" w:eastAsia="Arial" w:hAnsi="Arial" w:cs="Arial"/>
                <w:kern w:val="0"/>
                <w:sz w:val="20"/>
                <w:szCs w:val="20"/>
                <w:lang w:val="es-ES" w:eastAsia="es-CO"/>
                <w14:ligatures w14:val="none"/>
              </w:rPr>
              <w:br/>
              <w:t>- Auditorías periódicas (evaluación de ciberseguridad y pruebas de penetración.</w:t>
            </w:r>
            <w:r w:rsidRPr="002E1A3B">
              <w:rPr>
                <w:rFonts w:ascii="Arial" w:eastAsia="Arial" w:hAnsi="Arial" w:cs="Arial"/>
                <w:kern w:val="0"/>
                <w:sz w:val="20"/>
                <w:szCs w:val="20"/>
                <w:lang w:val="es-ES" w:eastAsia="es-CO"/>
                <w14:ligatures w14:val="none"/>
              </w:rPr>
              <w:br/>
              <w:t>- Evaluación  de  informes  de  la infraestructura de TI periódicos y en tiempo real.</w:t>
            </w:r>
            <w:r w:rsidRPr="002E1A3B">
              <w:rPr>
                <w:rFonts w:ascii="Arial" w:eastAsia="Arial" w:hAnsi="Arial" w:cs="Arial"/>
                <w:kern w:val="0"/>
                <w:sz w:val="20"/>
                <w:szCs w:val="20"/>
                <w:lang w:val="es-ES" w:eastAsia="es-CO"/>
                <w14:ligatures w14:val="none"/>
              </w:rPr>
              <w:br/>
              <w:t>- Monitoreo a las  actualizaciones de la plataforma TI (servidores, herramientas de seguridad, redes y seguridad).</w:t>
            </w:r>
            <w:r w:rsidRPr="002E1A3B">
              <w:rPr>
                <w:rFonts w:ascii="Arial" w:eastAsia="Arial" w:hAnsi="Arial" w:cs="Arial"/>
                <w:kern w:val="0"/>
                <w:sz w:val="20"/>
                <w:szCs w:val="20"/>
                <w:lang w:val="es-ES" w:eastAsia="es-CO"/>
                <w14:ligatures w14:val="none"/>
              </w:rPr>
              <w:br/>
              <w:t>- Administración de cambios.</w:t>
            </w:r>
            <w:r w:rsidRPr="002E1A3B">
              <w:rPr>
                <w:rFonts w:ascii="Arial" w:eastAsia="Arial" w:hAnsi="Arial" w:cs="Arial"/>
                <w:kern w:val="0"/>
                <w:sz w:val="20"/>
                <w:szCs w:val="20"/>
                <w:lang w:val="es-ES" w:eastAsia="es-CO"/>
                <w14:ligatures w14:val="none"/>
              </w:rPr>
              <w:br/>
              <w:t>- Planes de Renovación de Infraestructura  (redes, almacenamiento, servidores, seguridad, estaciones de trabajo)</w:t>
            </w:r>
            <w:r w:rsidRPr="002E1A3B">
              <w:rPr>
                <w:rFonts w:ascii="Arial" w:eastAsia="Arial" w:hAnsi="Arial" w:cs="Arial"/>
                <w:kern w:val="0"/>
                <w:sz w:val="20"/>
                <w:szCs w:val="20"/>
                <w:lang w:val="es-ES" w:eastAsia="es-CO"/>
                <w14:ligatures w14:val="none"/>
              </w:rPr>
              <w:br/>
              <w:t>-Catálogo de elementos de TI (Hardware, software) y flujos de información.</w:t>
            </w:r>
            <w:r w:rsidRPr="002E1A3B">
              <w:rPr>
                <w:rFonts w:ascii="Arial" w:eastAsia="Arial" w:hAnsi="Arial" w:cs="Arial"/>
                <w:kern w:val="0"/>
                <w:sz w:val="20"/>
                <w:szCs w:val="20"/>
                <w:lang w:val="es-ES" w:eastAsia="es-CO"/>
                <w14:ligatures w14:val="none"/>
              </w:rPr>
              <w:br/>
              <w:t>-Doble factor de autenticación para conexiones office 365 y  VPN.</w:t>
            </w:r>
          </w:p>
        </w:tc>
        <w:tc>
          <w:tcPr>
            <w:tcW w:w="2487" w:type="dxa"/>
            <w:shd w:val="clear" w:color="auto" w:fill="auto"/>
            <w:vAlign w:val="center"/>
          </w:tcPr>
          <w:p w14:paraId="2724F88C"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Seguridad de la información y ciberseguridad</w:t>
            </w:r>
          </w:p>
        </w:tc>
        <w:tc>
          <w:tcPr>
            <w:tcW w:w="2512" w:type="dxa"/>
            <w:shd w:val="clear" w:color="auto" w:fill="auto"/>
            <w:vAlign w:val="center"/>
          </w:tcPr>
          <w:p w14:paraId="505FD2D9"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Reputacional</w:t>
            </w:r>
          </w:p>
        </w:tc>
        <w:tc>
          <w:tcPr>
            <w:tcW w:w="1310" w:type="dxa"/>
            <w:shd w:val="clear" w:color="auto" w:fill="auto"/>
            <w:vAlign w:val="center"/>
          </w:tcPr>
          <w:p w14:paraId="0728AD52" w14:textId="77777777" w:rsidR="002E1A3B" w:rsidRPr="002E1A3B" w:rsidRDefault="002E1A3B" w:rsidP="002E1A3B">
            <w:pPr>
              <w:spacing w:after="0" w:line="240" w:lineRule="auto"/>
              <w:jc w:val="center"/>
              <w:rPr>
                <w:rFonts w:ascii="Arial" w:eastAsia="Arial" w:hAnsi="Arial" w:cs="Arial"/>
                <w:kern w:val="0"/>
                <w:sz w:val="20"/>
                <w:szCs w:val="20"/>
                <w:lang w:val="es-ES" w:eastAsia="es-CO"/>
                <w14:ligatures w14:val="none"/>
              </w:rPr>
            </w:pPr>
            <w:r w:rsidRPr="002E1A3B">
              <w:rPr>
                <w:rFonts w:ascii="Arial" w:eastAsia="Arial" w:hAnsi="Arial" w:cs="Arial"/>
                <w:kern w:val="0"/>
                <w:sz w:val="20"/>
                <w:szCs w:val="20"/>
                <w:lang w:val="es-ES" w:eastAsia="es-CO"/>
                <w14:ligatures w14:val="none"/>
              </w:rPr>
              <w:t xml:space="preserve"> Medio.</w:t>
            </w:r>
          </w:p>
        </w:tc>
      </w:tr>
    </w:tbl>
    <w:p w14:paraId="62A99D24" w14:textId="77777777" w:rsidR="002E1A3B" w:rsidRPr="002E1A3B" w:rsidRDefault="002E1A3B" w:rsidP="002E1A3B">
      <w:pPr>
        <w:spacing w:before="220" w:after="0" w:line="240" w:lineRule="auto"/>
        <w:ind w:right="160"/>
        <w:jc w:val="both"/>
        <w:rPr>
          <w:rFonts w:ascii="Tahoma" w:eastAsia="Tahoma" w:hAnsi="Tahoma" w:cs="Tahoma"/>
          <w:b/>
          <w:color w:val="002060"/>
          <w:kern w:val="0"/>
          <w:lang w:val="es-ES" w:eastAsia="es-CO"/>
          <w14:ligatures w14:val="none"/>
        </w:rPr>
        <w:sectPr w:rsidR="002E1A3B" w:rsidRPr="002E1A3B" w:rsidSect="002E1A3B">
          <w:pgSz w:w="16838" w:h="11906" w:orient="landscape"/>
          <w:pgMar w:top="1701" w:right="1418" w:bottom="1701" w:left="1418" w:header="709" w:footer="709" w:gutter="0"/>
          <w:cols w:space="720"/>
        </w:sectPr>
      </w:pPr>
    </w:p>
    <w:p w14:paraId="1FFE5389"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sz w:val="32"/>
          <w:szCs w:val="32"/>
          <w:lang w:val="es-ES" w:eastAsia="es-CO"/>
          <w14:ligatures w14:val="none"/>
        </w:rPr>
        <w:lastRenderedPageBreak/>
        <w:t>Oportunidades asociadas a la estrategia</w:t>
      </w:r>
    </w:p>
    <w:p w14:paraId="7AD75FF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38AA070" w14:textId="77777777" w:rsidR="002E1A3B" w:rsidRPr="002E1A3B" w:rsidRDefault="002E1A3B" w:rsidP="00AC1146">
      <w:pPr>
        <w:numPr>
          <w:ilvl w:val="0"/>
          <w:numId w:val="3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Consolidar y expandir el negocio SED</w:t>
      </w:r>
    </w:p>
    <w:p w14:paraId="6839CA9E" w14:textId="77777777" w:rsidR="002E1A3B" w:rsidRPr="002E1A3B" w:rsidRDefault="002E1A3B" w:rsidP="00AC1146">
      <w:pPr>
        <w:numPr>
          <w:ilvl w:val="0"/>
          <w:numId w:val="3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Mantener el desarrollo del negocio de conexiones: tradicionales y conexión FERNC.</w:t>
      </w:r>
    </w:p>
    <w:p w14:paraId="0C1EF8C0" w14:textId="77777777" w:rsidR="002E1A3B" w:rsidRPr="002E1A3B" w:rsidRDefault="002E1A3B" w:rsidP="00AC1146">
      <w:pPr>
        <w:numPr>
          <w:ilvl w:val="0"/>
          <w:numId w:val="3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Gestionar cambios regulatorios como palanca de crecimiento y gestión de oportunidades.</w:t>
      </w:r>
    </w:p>
    <w:p w14:paraId="1B39A010" w14:textId="77777777" w:rsidR="002E1A3B" w:rsidRPr="002E1A3B" w:rsidRDefault="002E1A3B" w:rsidP="002E1A3B">
      <w:pPr>
        <w:spacing w:before="220" w:after="0" w:line="240" w:lineRule="auto"/>
        <w:ind w:right="160"/>
        <w:jc w:val="both"/>
        <w:rPr>
          <w:rFonts w:ascii="Tahoma" w:eastAsia="Tahoma" w:hAnsi="Tahoma" w:cs="Tahoma"/>
          <w:kern w:val="0"/>
          <w:lang w:val="es-ES" w:eastAsia="es-CO"/>
          <w14:ligatures w14:val="none"/>
        </w:rPr>
      </w:pPr>
    </w:p>
    <w:p w14:paraId="0CBE5624" w14:textId="77777777" w:rsidR="002E1A3B" w:rsidRPr="002E1A3B" w:rsidRDefault="002E1A3B" w:rsidP="002E1A3B">
      <w:pPr>
        <w:spacing w:after="0" w:line="240" w:lineRule="auto"/>
        <w:jc w:val="both"/>
        <w:rPr>
          <w:rFonts w:ascii="Tahoma" w:eastAsia="Tahoma" w:hAnsi="Tahoma" w:cs="Tahoma"/>
          <w:kern w:val="0"/>
          <w:sz w:val="32"/>
          <w:szCs w:val="32"/>
          <w:lang w:val="es-ES" w:eastAsia="es-CO"/>
          <w14:ligatures w14:val="none"/>
        </w:rPr>
      </w:pPr>
      <w:r w:rsidRPr="002E1A3B">
        <w:rPr>
          <w:rFonts w:ascii="Tahoma" w:eastAsia="Tahoma" w:hAnsi="Tahoma" w:cs="Tahoma"/>
          <w:b/>
          <w:kern w:val="0"/>
          <w:sz w:val="32"/>
          <w:szCs w:val="32"/>
          <w:lang w:val="es-ES" w:eastAsia="es-CO"/>
          <w14:ligatures w14:val="none"/>
        </w:rPr>
        <w:t>Posibles efectos de riesgos y oportunidades relacionados con la cadena de valor </w:t>
      </w:r>
    </w:p>
    <w:p w14:paraId="7CFB4BC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4F9669E1" w14:textId="77777777" w:rsidR="002E1A3B" w:rsidRPr="002E1A3B" w:rsidRDefault="002E1A3B" w:rsidP="002E1A3B">
      <w:pPr>
        <w:spacing w:after="0" w:line="240" w:lineRule="auto"/>
        <w:jc w:val="both"/>
        <w:rPr>
          <w:rFonts w:ascii="Tahoma" w:eastAsia="Tahoma" w:hAnsi="Tahoma" w:cs="Tahoma"/>
          <w:kern w:val="0"/>
          <w:sz w:val="22"/>
          <w:lang w:val="es-ES" w:eastAsia="es-CO"/>
          <w14:ligatures w14:val="none"/>
        </w:rPr>
      </w:pPr>
      <w:r w:rsidRPr="002E1A3B">
        <w:rPr>
          <w:rFonts w:ascii="Tahoma" w:eastAsia="Tahoma" w:hAnsi="Tahoma" w:cs="Tahoma"/>
          <w:b/>
          <w:kern w:val="0"/>
          <w:lang w:val="es-ES" w:eastAsia="es-CO"/>
          <w14:ligatures w14:val="none"/>
        </w:rPr>
        <w:t>Mercado y liquidez</w:t>
      </w:r>
    </w:p>
    <w:p w14:paraId="5868C81C" w14:textId="77777777" w:rsidR="002E1A3B" w:rsidRPr="002E1A3B" w:rsidRDefault="002E1A3B" w:rsidP="00AC1146">
      <w:pPr>
        <w:numPr>
          <w:ilvl w:val="0"/>
          <w:numId w:val="40"/>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Posibles impactos financieros por incumplimiento de los pagos de uso del STN y conexión por parte de los operadores de red.</w:t>
      </w:r>
    </w:p>
    <w:p w14:paraId="46D1BF2D"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79FF57D"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r w:rsidRPr="002E1A3B">
        <w:rPr>
          <w:rFonts w:ascii="Tahoma" w:eastAsia="Tahoma" w:hAnsi="Tahoma" w:cs="Tahoma"/>
          <w:b/>
          <w:kern w:val="0"/>
          <w:lang w:val="es-ES" w:eastAsia="es-CO"/>
          <w14:ligatures w14:val="none"/>
        </w:rPr>
        <w:t>Seguridad y salud en el trabajo</w:t>
      </w:r>
    </w:p>
    <w:p w14:paraId="4E99BBF0" w14:textId="77777777" w:rsidR="002E1A3B" w:rsidRPr="002E1A3B" w:rsidRDefault="002E1A3B" w:rsidP="00AC1146">
      <w:pPr>
        <w:numPr>
          <w:ilvl w:val="0"/>
          <w:numId w:val="41"/>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Alerta permanente frente a cuasi-accidentes y accidentes.</w:t>
      </w:r>
    </w:p>
    <w:p w14:paraId="7ACBC5DE" w14:textId="77777777" w:rsidR="002E1A3B" w:rsidRPr="002E1A3B" w:rsidRDefault="002E1A3B" w:rsidP="002E1A3B">
      <w:pPr>
        <w:spacing w:after="0" w:line="240" w:lineRule="auto"/>
        <w:ind w:left="720"/>
        <w:jc w:val="both"/>
        <w:rPr>
          <w:rFonts w:ascii="Tahoma" w:eastAsia="Tahoma" w:hAnsi="Tahoma" w:cs="Tahoma"/>
          <w:kern w:val="0"/>
          <w:lang w:val="es-ES" w:eastAsia="es-CO"/>
          <w14:ligatures w14:val="none"/>
        </w:rPr>
      </w:pPr>
    </w:p>
    <w:p w14:paraId="7672D420"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Orden público y seguridad ciudadana</w:t>
      </w:r>
    </w:p>
    <w:p w14:paraId="2E40C0D8" w14:textId="77777777" w:rsidR="002E1A3B" w:rsidRPr="002E1A3B" w:rsidRDefault="002E1A3B" w:rsidP="00AC1146">
      <w:pPr>
        <w:numPr>
          <w:ilvl w:val="0"/>
          <w:numId w:val="4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Alerta permanente frente a potenciales actos mal intencionados de comunidades insatisfechas por falla en la prestación del servicio por parte de los Operadores de Red que afectan la infraestructura.</w:t>
      </w:r>
    </w:p>
    <w:p w14:paraId="0532E3A2"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C536412"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Social</w:t>
      </w:r>
    </w:p>
    <w:p w14:paraId="7632AC13" w14:textId="77777777" w:rsidR="002E1A3B" w:rsidRPr="002E1A3B" w:rsidRDefault="002E1A3B" w:rsidP="00AC1146">
      <w:pPr>
        <w:numPr>
          <w:ilvl w:val="0"/>
          <w:numId w:val="43"/>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Posibles accidentes, limitación de suministro o interrupciones a la prestación del servicio debido al acercamiento crítico por incremento de las invasiones de servidumbres, especialmente en edificaciones de más de un piso.</w:t>
      </w:r>
    </w:p>
    <w:p w14:paraId="1100552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4D09E5A"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Mercado, competencia</w:t>
      </w:r>
    </w:p>
    <w:p w14:paraId="6257B7F6" w14:textId="77777777" w:rsidR="002E1A3B" w:rsidRPr="002E1A3B" w:rsidRDefault="002E1A3B" w:rsidP="00AC1146">
      <w:pPr>
        <w:numPr>
          <w:ilvl w:val="0"/>
          <w:numId w:val="4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Alto nivel de competencia frente a proyectos fotovoltaicos con privados.</w:t>
      </w:r>
    </w:p>
    <w:p w14:paraId="5A394D54" w14:textId="77777777" w:rsidR="002E1A3B" w:rsidRPr="002E1A3B" w:rsidRDefault="002E1A3B" w:rsidP="00AC1146">
      <w:pPr>
        <w:numPr>
          <w:ilvl w:val="0"/>
          <w:numId w:val="4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Atrasos en la apertura de convocatorias UPME en proyectos de Sistema de Transmisión Regional (STR). </w:t>
      </w:r>
    </w:p>
    <w:p w14:paraId="63587E1C"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4EAD5E8"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Operación del negocio</w:t>
      </w:r>
    </w:p>
    <w:p w14:paraId="501D0809" w14:textId="77777777" w:rsidR="002E1A3B" w:rsidRPr="002E1A3B" w:rsidRDefault="002E1A3B" w:rsidP="00AC1146">
      <w:pPr>
        <w:numPr>
          <w:ilvl w:val="0"/>
          <w:numId w:val="4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Inversiones para aumentar niveles de corto circuito en las subestaciones.</w:t>
      </w:r>
    </w:p>
    <w:p w14:paraId="04CA2A8C" w14:textId="77777777" w:rsidR="002E1A3B" w:rsidRPr="002E1A3B" w:rsidRDefault="002E1A3B" w:rsidP="00AC1146">
      <w:pPr>
        <w:numPr>
          <w:ilvl w:val="0"/>
          <w:numId w:val="4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Posibles afectaciones a la continuidad del servicio con rezagos en las convocatorias del Sistema de Transmisión Nacional (STN) e incremento en la demanda de la Región Caribe.</w:t>
      </w:r>
    </w:p>
    <w:p w14:paraId="5ACEF834" w14:textId="77777777" w:rsidR="002E1A3B" w:rsidRPr="002E1A3B" w:rsidRDefault="002E1A3B" w:rsidP="00AC1146">
      <w:pPr>
        <w:numPr>
          <w:ilvl w:val="0"/>
          <w:numId w:val="4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Condiciones climáticas cambiantes con potencial afectación en los territorios a causa de incendios, deslizamientos y/o inundaciones.</w:t>
      </w:r>
    </w:p>
    <w:p w14:paraId="5114B75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22CA2CEB"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p>
    <w:p w14:paraId="412A0292"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Diseño y construcción de proyectos</w:t>
      </w:r>
    </w:p>
    <w:p w14:paraId="03B174A8" w14:textId="77777777" w:rsidR="002E1A3B" w:rsidRPr="002E1A3B" w:rsidRDefault="002E1A3B" w:rsidP="00AC1146">
      <w:pPr>
        <w:numPr>
          <w:ilvl w:val="0"/>
          <w:numId w:val="46"/>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lastRenderedPageBreak/>
        <w:t>Dificultades y demoras en la obtención de licenciamientos ambientales. </w:t>
      </w:r>
    </w:p>
    <w:p w14:paraId="49D50DCC"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D7F30DE"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Cadena de suministro</w:t>
      </w:r>
    </w:p>
    <w:p w14:paraId="63825B62" w14:textId="77777777" w:rsidR="002E1A3B" w:rsidRPr="002E1A3B" w:rsidRDefault="002E1A3B" w:rsidP="00AC1146">
      <w:pPr>
        <w:numPr>
          <w:ilvl w:val="0"/>
          <w:numId w:val="47"/>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Conflictos internacionales que pueden afectar los principales corredores marítimos para la importación de bienes.</w:t>
      </w:r>
    </w:p>
    <w:p w14:paraId="1AF8BB49" w14:textId="77777777" w:rsidR="002E1A3B" w:rsidRPr="002E1A3B" w:rsidRDefault="002E1A3B" w:rsidP="00AC1146">
      <w:pPr>
        <w:numPr>
          <w:ilvl w:val="0"/>
          <w:numId w:val="47"/>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Concentración de servicios en pocos proveedores al no haber mayor oferta disponible en el mercado.   </w:t>
      </w:r>
    </w:p>
    <w:p w14:paraId="53359C9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4AC501C1"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Ciberseguridad y tecnologías de la información</w:t>
      </w:r>
    </w:p>
    <w:p w14:paraId="02E12C19" w14:textId="77777777" w:rsidR="002E1A3B" w:rsidRPr="002E1A3B" w:rsidRDefault="002E1A3B" w:rsidP="00AC1146">
      <w:pPr>
        <w:numPr>
          <w:ilvl w:val="0"/>
          <w:numId w:val="48"/>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Alerta permanente frente a potenciales ataques cibernéticos. </w:t>
      </w:r>
    </w:p>
    <w:p w14:paraId="13656C8A"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501991E"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Capital humano y relaciones laborales</w:t>
      </w:r>
    </w:p>
    <w:p w14:paraId="195BDA1C" w14:textId="77777777" w:rsidR="002E1A3B" w:rsidRPr="002E1A3B" w:rsidRDefault="002E1A3B" w:rsidP="00AC1146">
      <w:pPr>
        <w:numPr>
          <w:ilvl w:val="0"/>
          <w:numId w:val="4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Dificultad para retener el talento humano.</w:t>
      </w:r>
    </w:p>
    <w:p w14:paraId="73CB1F36" w14:textId="77777777" w:rsidR="002E1A3B" w:rsidRPr="002E1A3B" w:rsidRDefault="002E1A3B" w:rsidP="00AC1146">
      <w:pPr>
        <w:numPr>
          <w:ilvl w:val="0"/>
          <w:numId w:val="4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Potencial pérdida de conocimiento crítico.</w:t>
      </w:r>
    </w:p>
    <w:p w14:paraId="52795FEA" w14:textId="77777777" w:rsidR="002E1A3B" w:rsidRPr="002E1A3B" w:rsidRDefault="002E1A3B" w:rsidP="00AC1146">
      <w:pPr>
        <w:numPr>
          <w:ilvl w:val="0"/>
          <w:numId w:val="49"/>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Escasez de talento especializado en el mercado laboral.</w:t>
      </w:r>
    </w:p>
    <w:p w14:paraId="1561733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68EE631"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Oportunidades:</w:t>
      </w:r>
    </w:p>
    <w:p w14:paraId="4321C961" w14:textId="77777777" w:rsidR="002E1A3B" w:rsidRPr="002E1A3B" w:rsidRDefault="002E1A3B" w:rsidP="00AC1146">
      <w:pPr>
        <w:numPr>
          <w:ilvl w:val="0"/>
          <w:numId w:val="50"/>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Afianzar el liderazgo de los negocios de Soluciones Energéticas Distribuidas en ISA Colombia y crecer en este negocio. </w:t>
      </w:r>
    </w:p>
    <w:p w14:paraId="02377771" w14:textId="77777777" w:rsidR="002E1A3B" w:rsidRPr="002E1A3B" w:rsidRDefault="002E1A3B" w:rsidP="00AC1146">
      <w:pPr>
        <w:numPr>
          <w:ilvl w:val="0"/>
          <w:numId w:val="50"/>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Dar acceso a la energía a comunidades no interconectadas. </w:t>
      </w:r>
    </w:p>
    <w:p w14:paraId="24EDDE6D" w14:textId="77777777" w:rsidR="002E1A3B" w:rsidRPr="002E1A3B" w:rsidRDefault="002E1A3B" w:rsidP="00AC1146">
      <w:pPr>
        <w:numPr>
          <w:ilvl w:val="0"/>
          <w:numId w:val="50"/>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Ganar proyectos de convocatorias del STR. </w:t>
      </w:r>
    </w:p>
    <w:p w14:paraId="547AD42A" w14:textId="77777777" w:rsidR="002E1A3B" w:rsidRPr="002E1A3B" w:rsidRDefault="002E1A3B" w:rsidP="00AC1146">
      <w:pPr>
        <w:numPr>
          <w:ilvl w:val="0"/>
          <w:numId w:val="50"/>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Brindar apoyo a los Operadores de Red. </w:t>
      </w:r>
    </w:p>
    <w:p w14:paraId="072A3491"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92F41F7"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Concentración de riesgos y oportunidades relacionados con el modelo de negocio y la cadena de valor </w:t>
      </w:r>
    </w:p>
    <w:p w14:paraId="25028FC7"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6E52801C" w14:textId="77777777" w:rsidR="002E1A3B" w:rsidRPr="002E1A3B" w:rsidRDefault="002E1A3B" w:rsidP="00AC1146">
      <w:pPr>
        <w:numPr>
          <w:ilvl w:val="0"/>
          <w:numId w:val="51"/>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En negocios con el sector privado están a lo largo del país, en las instalaciones de los clientes y en áreas donde los proyectos serán construidos.</w:t>
      </w:r>
    </w:p>
    <w:p w14:paraId="6E09A290" w14:textId="77777777" w:rsidR="002E1A3B" w:rsidRPr="002E1A3B" w:rsidRDefault="002E1A3B" w:rsidP="00AC1146">
      <w:pPr>
        <w:numPr>
          <w:ilvl w:val="0"/>
          <w:numId w:val="51"/>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En el negocio del STN se encuentran en la Costa Caribe colombiana donde se encuentran las subestaciones y líneas y sus áreas de influencia. </w:t>
      </w:r>
    </w:p>
    <w:p w14:paraId="02AE59D7"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5B93364" w14:textId="77777777" w:rsidR="002E1A3B" w:rsidRPr="00B83A53" w:rsidRDefault="002E1A3B" w:rsidP="002E1A3B">
      <w:pPr>
        <w:spacing w:after="0" w:line="240" w:lineRule="auto"/>
        <w:jc w:val="both"/>
        <w:rPr>
          <w:rFonts w:ascii="Tahoma" w:eastAsia="Tahoma" w:hAnsi="Tahoma" w:cs="Tahoma"/>
          <w:color w:val="0070C0"/>
          <w:kern w:val="0"/>
          <w:lang w:val="es-ES" w:eastAsia="es-CO"/>
          <w14:ligatures w14:val="none"/>
        </w:rPr>
      </w:pPr>
      <w:r w:rsidRPr="00B83A53">
        <w:rPr>
          <w:rFonts w:ascii="Tahoma" w:eastAsia="Tahoma" w:hAnsi="Tahoma" w:cs="Tahoma"/>
          <w:b/>
          <w:color w:val="0070C0"/>
          <w:kern w:val="0"/>
          <w:sz w:val="32"/>
          <w:szCs w:val="32"/>
          <w:lang w:val="es-ES" w:eastAsia="es-CO"/>
          <w14:ligatures w14:val="none"/>
        </w:rPr>
        <w:t>Riesgos y oportunidades asociados al modelo de negocio y a la cadena de valor</w:t>
      </w:r>
    </w:p>
    <w:p w14:paraId="5CF57C90"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0B88D08"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Riesgos: </w:t>
      </w:r>
    </w:p>
    <w:p w14:paraId="53075B40"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C447CF1" w14:textId="77777777" w:rsidR="002E1A3B" w:rsidRPr="002E1A3B" w:rsidRDefault="002E1A3B" w:rsidP="00AC1146">
      <w:pPr>
        <w:numPr>
          <w:ilvl w:val="0"/>
          <w:numId w:val="5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Incumplimiento de cartera en los servicios de conexión y en el Sistema de Transmisión Nacional (STN) por parte de los operadores de red. </w:t>
      </w:r>
    </w:p>
    <w:p w14:paraId="4A7A0975" w14:textId="77777777" w:rsidR="002E1A3B" w:rsidRPr="002E1A3B" w:rsidRDefault="002E1A3B" w:rsidP="00AC1146">
      <w:pPr>
        <w:numPr>
          <w:ilvl w:val="0"/>
          <w:numId w:val="5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No remuneración de las inversiones necesarias para aumentar los niveles de corto circuito en las subestaciones.</w:t>
      </w:r>
    </w:p>
    <w:p w14:paraId="46C9BA86" w14:textId="77777777" w:rsidR="002E1A3B" w:rsidRPr="002E1A3B" w:rsidRDefault="002E1A3B" w:rsidP="00AC1146">
      <w:pPr>
        <w:numPr>
          <w:ilvl w:val="0"/>
          <w:numId w:val="5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Afectación a la demanda por tiempos de recuperación del servicio.</w:t>
      </w:r>
    </w:p>
    <w:p w14:paraId="44058B89" w14:textId="77777777" w:rsidR="002E1A3B" w:rsidRPr="002E1A3B" w:rsidRDefault="002E1A3B" w:rsidP="00AC1146">
      <w:pPr>
        <w:numPr>
          <w:ilvl w:val="0"/>
          <w:numId w:val="5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Accidentes en zona de servidumbre.</w:t>
      </w:r>
    </w:p>
    <w:p w14:paraId="23C6CCFB" w14:textId="77777777" w:rsidR="002E1A3B" w:rsidRPr="002E1A3B" w:rsidRDefault="002E1A3B" w:rsidP="00AC1146">
      <w:pPr>
        <w:numPr>
          <w:ilvl w:val="0"/>
          <w:numId w:val="52"/>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lastRenderedPageBreak/>
        <w:t>Ataques cibernéticos que generen indisponibilidad en la operación o pérdida de información crítica.</w:t>
      </w:r>
    </w:p>
    <w:p w14:paraId="1CB2743B"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521B402"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r w:rsidRPr="002E1A3B">
        <w:rPr>
          <w:rFonts w:ascii="Tahoma" w:eastAsia="Tahoma" w:hAnsi="Tahoma" w:cs="Tahoma"/>
          <w:b/>
          <w:kern w:val="0"/>
          <w:lang w:val="es-ES" w:eastAsia="es-CO"/>
          <w14:ligatures w14:val="none"/>
        </w:rPr>
        <w:t>Oportunidades:</w:t>
      </w:r>
    </w:p>
    <w:p w14:paraId="79036985"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12F40762" w14:textId="77777777" w:rsidR="002E1A3B" w:rsidRPr="002E1A3B" w:rsidRDefault="002E1A3B" w:rsidP="00AC1146">
      <w:pPr>
        <w:numPr>
          <w:ilvl w:val="0"/>
          <w:numId w:val="53"/>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Crecimiento de los negocios de soluciones energéticas distribuidas. </w:t>
      </w:r>
    </w:p>
    <w:p w14:paraId="36CBFC04" w14:textId="77777777" w:rsidR="002E1A3B" w:rsidRPr="002E1A3B" w:rsidRDefault="002E1A3B" w:rsidP="00AC1146">
      <w:pPr>
        <w:numPr>
          <w:ilvl w:val="0"/>
          <w:numId w:val="53"/>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Capacidad para atraer y retener talento especializado en los negocios de la compañía. </w:t>
      </w:r>
    </w:p>
    <w:p w14:paraId="4A8FEEE2" w14:textId="77777777" w:rsidR="002E1A3B" w:rsidRPr="002E1A3B" w:rsidRDefault="002E1A3B" w:rsidP="00AC1146">
      <w:pPr>
        <w:numPr>
          <w:ilvl w:val="0"/>
          <w:numId w:val="53"/>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Energización rural de comunidades no interconectadas. </w:t>
      </w:r>
    </w:p>
    <w:p w14:paraId="0ECC2E3E"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4A16C7B4"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sz w:val="32"/>
          <w:szCs w:val="32"/>
          <w:lang w:val="es-ES" w:eastAsia="es-CO"/>
          <w14:ligatures w14:val="none"/>
        </w:rPr>
        <w:t>Riesgos que puedan afectar las perspectivas de crecimiento</w:t>
      </w:r>
    </w:p>
    <w:p w14:paraId="66F833A8"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AE2AA1E"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r w:rsidRPr="002E1A3B">
        <w:rPr>
          <w:rFonts w:ascii="Tahoma" w:eastAsia="Tahoma" w:hAnsi="Tahoma" w:cs="Tahoma"/>
          <w:b/>
          <w:kern w:val="0"/>
          <w:lang w:val="es-ES" w:eastAsia="es-CO"/>
          <w14:ligatures w14:val="none"/>
        </w:rPr>
        <w:t>En el corto plazo:</w:t>
      </w:r>
    </w:p>
    <w:p w14:paraId="44A524EE" w14:textId="77777777" w:rsidR="002E1A3B" w:rsidRPr="002E1A3B" w:rsidRDefault="002E1A3B" w:rsidP="00AC1146">
      <w:pPr>
        <w:numPr>
          <w:ilvl w:val="0"/>
          <w:numId w:val="54"/>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Incumplimiento de cartera en los servicios de conexión y en el Sistema de Transmisión Nacional (STN) por parte de los operadores de red.  </w:t>
      </w:r>
    </w:p>
    <w:p w14:paraId="0E8684B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99F5566" w14:textId="77777777" w:rsidR="002E1A3B" w:rsidRPr="002E1A3B" w:rsidRDefault="002E1A3B" w:rsidP="002E1A3B">
      <w:pPr>
        <w:spacing w:after="0" w:line="240" w:lineRule="auto"/>
        <w:jc w:val="both"/>
        <w:rPr>
          <w:rFonts w:ascii="Tahoma" w:eastAsia="Tahoma" w:hAnsi="Tahoma" w:cs="Tahoma"/>
          <w:b/>
          <w:kern w:val="0"/>
          <w:lang w:val="es-ES" w:eastAsia="es-CO"/>
          <w14:ligatures w14:val="none"/>
        </w:rPr>
      </w:pPr>
      <w:r w:rsidRPr="002E1A3B">
        <w:rPr>
          <w:rFonts w:ascii="Tahoma" w:eastAsia="Tahoma" w:hAnsi="Tahoma" w:cs="Tahoma"/>
          <w:b/>
          <w:kern w:val="0"/>
          <w:lang w:val="es-ES" w:eastAsia="es-CO"/>
          <w14:ligatures w14:val="none"/>
        </w:rPr>
        <w:t>En el mediano plazo:</w:t>
      </w:r>
    </w:p>
    <w:p w14:paraId="509C04DE" w14:textId="77777777" w:rsidR="002E1A3B" w:rsidRPr="002E1A3B" w:rsidRDefault="002E1A3B" w:rsidP="00AC1146">
      <w:pPr>
        <w:numPr>
          <w:ilvl w:val="0"/>
          <w:numId w:val="5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Crecimiento desarticulado de la transición energética. </w:t>
      </w:r>
    </w:p>
    <w:p w14:paraId="0C73982F" w14:textId="77777777" w:rsidR="002E1A3B" w:rsidRPr="002E1A3B" w:rsidRDefault="002E1A3B" w:rsidP="00AC1146">
      <w:pPr>
        <w:numPr>
          <w:ilvl w:val="0"/>
          <w:numId w:val="5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No remuneración de las inversiones necesarias para aumentar los niveles de corto circuito en las subestaciones. </w:t>
      </w:r>
    </w:p>
    <w:p w14:paraId="49A20D41" w14:textId="77777777" w:rsidR="002E1A3B" w:rsidRPr="002E1A3B" w:rsidRDefault="002E1A3B" w:rsidP="002E1A3B">
      <w:pPr>
        <w:spacing w:line="240" w:lineRule="auto"/>
        <w:rPr>
          <w:rFonts w:ascii="Tahoma" w:eastAsia="Tahoma" w:hAnsi="Tahoma" w:cs="Tahoma"/>
          <w:kern w:val="0"/>
          <w:lang w:val="es-ES" w:eastAsia="es-CO"/>
          <w14:ligatures w14:val="none"/>
        </w:rPr>
      </w:pPr>
    </w:p>
    <w:p w14:paraId="68E349B5" w14:textId="77777777" w:rsidR="002E1A3B" w:rsidRPr="00B83A53" w:rsidRDefault="002E1A3B" w:rsidP="002E1A3B">
      <w:pPr>
        <w:spacing w:after="0" w:line="240" w:lineRule="auto"/>
        <w:jc w:val="both"/>
        <w:rPr>
          <w:rFonts w:ascii="Tahoma" w:eastAsia="Tahoma" w:hAnsi="Tahoma" w:cs="Tahoma"/>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t>Independencia estructural entre la función de gestión del riesgo y las líneas de negocio</w:t>
      </w:r>
    </w:p>
    <w:p w14:paraId="728F8F7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87F21CC"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La estructura organizacional de TRANSELCA está diseñada para que exista una independencia estructural entre la función de gestión del riesgo y las líneas de negocio. </w:t>
      </w:r>
    </w:p>
    <w:p w14:paraId="10403BB2"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0B3ED211"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Esta organización permite dar lineamientos, formar y acompañar metodológicamente en la gestión integral de riesgos en procesos, riesgos empresariales y emergentes en todas las fases del ciclo de vida de los activos.</w:t>
      </w:r>
    </w:p>
    <w:p w14:paraId="040D84B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15A8E5E1"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El proceso de gestión de riesgos está ubicado en la Gerencia Administrativa la cual es independiente a las gerencias donde se gestionan los procesos del Core del Negocio.</w:t>
      </w:r>
    </w:p>
    <w:p w14:paraId="0B879F37" w14:textId="77777777" w:rsidR="002E1A3B" w:rsidRPr="00B83A53" w:rsidRDefault="002E1A3B" w:rsidP="002E1A3B">
      <w:pPr>
        <w:spacing w:after="0" w:line="240" w:lineRule="auto"/>
        <w:jc w:val="both"/>
        <w:rPr>
          <w:rFonts w:ascii="Tahoma" w:eastAsia="Tahoma" w:hAnsi="Tahoma" w:cs="Tahoma"/>
          <w:color w:val="0070C0"/>
          <w:kern w:val="0"/>
          <w:lang w:val="es-ES" w:eastAsia="es-CO"/>
          <w14:ligatures w14:val="none"/>
        </w:rPr>
      </w:pPr>
      <w:r w:rsidRPr="00B83A53">
        <w:rPr>
          <w:rFonts w:ascii="Tahoma" w:eastAsia="Tahoma" w:hAnsi="Tahoma" w:cs="Tahoma"/>
          <w:b/>
          <w:color w:val="0070C0"/>
          <w:kern w:val="0"/>
          <w:lang w:val="es-ES" w:eastAsia="es-CO"/>
          <w14:ligatures w14:val="none"/>
        </w:rPr>
        <w:t>GRI 2-13</w:t>
      </w:r>
    </w:p>
    <w:p w14:paraId="6CF3B67A"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CAC5AAF"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 xml:space="preserve">Para identificar los riesgos TRANSELCA utiliza diferentes fuentes como: la estrategia de la compañía, las señales del entorno (categorías), los resultados de la medición </w:t>
      </w:r>
      <w:r w:rsidRPr="002E1A3B">
        <w:rPr>
          <w:rFonts w:ascii="Tahoma" w:eastAsia="Tahoma" w:hAnsi="Tahoma" w:cs="Tahoma"/>
          <w:kern w:val="0"/>
          <w:lang w:val="es-ES" w:eastAsia="es-CO"/>
          <w14:ligatures w14:val="none"/>
        </w:rPr>
        <w:lastRenderedPageBreak/>
        <w:t>de reputación, la materialidad realizada con los grupos de interés y aquellas señales propias de los procesos. </w:t>
      </w:r>
    </w:p>
    <w:p w14:paraId="5B1FC8DC"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6D697F3A" w14:textId="77777777" w:rsidR="002E1A3B" w:rsidRPr="00B83A53" w:rsidRDefault="002E1A3B" w:rsidP="002E1A3B">
      <w:pPr>
        <w:spacing w:before="220" w:after="0" w:line="240" w:lineRule="auto"/>
        <w:ind w:right="160"/>
        <w:jc w:val="both"/>
        <w:rPr>
          <w:rFonts w:ascii="Tahoma" w:eastAsia="Tahoma" w:hAnsi="Tahoma" w:cs="Tahoma"/>
          <w:b/>
          <w:kern w:val="0"/>
          <w:sz w:val="36"/>
          <w:szCs w:val="36"/>
          <w:lang w:val="es-ES" w:eastAsia="es-CO"/>
          <w14:ligatures w14:val="none"/>
        </w:rPr>
      </w:pPr>
      <w:r w:rsidRPr="00B83A53">
        <w:rPr>
          <w:rFonts w:ascii="Tahoma" w:eastAsia="Tahoma" w:hAnsi="Tahoma" w:cs="Tahoma"/>
          <w:b/>
          <w:kern w:val="0"/>
          <w:sz w:val="36"/>
          <w:szCs w:val="36"/>
          <w:lang w:val="es-ES" w:eastAsia="es-CO"/>
          <w14:ligatures w14:val="none"/>
        </w:rPr>
        <w:t>Revisión de exposición al riesgo</w:t>
      </w:r>
    </w:p>
    <w:p w14:paraId="0342D61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61B5013"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lang w:val="es-ES" w:eastAsia="es-CO"/>
          <w14:ligatures w14:val="none"/>
        </w:rPr>
        <w:t>Trimestralmente se revisa la exposición al riesgo y el proceso de gestión del riesgo es auditado anualmente de manera interna y externa:</w:t>
      </w:r>
    </w:p>
    <w:p w14:paraId="50DBB315"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177216BB"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 xml:space="preserve">Interna: </w:t>
      </w:r>
      <w:r w:rsidRPr="002E1A3B">
        <w:rPr>
          <w:rFonts w:ascii="Tahoma" w:eastAsia="Tahoma" w:hAnsi="Tahoma" w:cs="Tahoma"/>
          <w:kern w:val="0"/>
          <w:lang w:val="es-ES" w:eastAsia="es-CO"/>
          <w14:ligatures w14:val="none"/>
        </w:rPr>
        <w:t>se realizan auditorías del proceso de gestión de riesgos mediante las cuales se evalúa el nivel de madurez en riesgos con el que cuenta la empresa.</w:t>
      </w:r>
    </w:p>
    <w:p w14:paraId="0EDEBF35"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p>
    <w:p w14:paraId="1259FB5F"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Externa:</w:t>
      </w:r>
      <w:r w:rsidRPr="002E1A3B">
        <w:rPr>
          <w:rFonts w:ascii="Tahoma" w:eastAsia="Tahoma" w:hAnsi="Tahoma" w:cs="Tahoma"/>
          <w:kern w:val="0"/>
          <w:lang w:val="es-ES" w:eastAsia="es-CO"/>
          <w14:ligatures w14:val="none"/>
        </w:rPr>
        <w:t xml:space="preserve"> se realiza la auditoría externa de los resultados del año anterior y la del sistema de gestión de activos. </w:t>
      </w:r>
    </w:p>
    <w:p w14:paraId="210D17F2"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E5C6DBE" w14:textId="77777777" w:rsidR="002E1A3B" w:rsidRPr="00B83A53" w:rsidRDefault="002E1A3B" w:rsidP="002E1A3B">
      <w:pPr>
        <w:spacing w:after="0" w:line="240" w:lineRule="auto"/>
        <w:jc w:val="both"/>
        <w:rPr>
          <w:rFonts w:ascii="Tahoma" w:eastAsia="Tahoma" w:hAnsi="Tahoma" w:cs="Tahoma"/>
          <w:color w:val="0070C0"/>
          <w:kern w:val="0"/>
          <w:lang w:val="es-ES" w:eastAsia="es-CO"/>
          <w14:ligatures w14:val="none"/>
        </w:rPr>
      </w:pPr>
      <w:r w:rsidRPr="00B83A53">
        <w:rPr>
          <w:rFonts w:ascii="Tahoma" w:eastAsia="Tahoma" w:hAnsi="Tahoma" w:cs="Tahoma"/>
          <w:b/>
          <w:color w:val="0070C0"/>
          <w:kern w:val="0"/>
          <w:sz w:val="32"/>
          <w:szCs w:val="32"/>
          <w:lang w:val="es-ES" w:eastAsia="es-CO"/>
          <w14:ligatures w14:val="none"/>
        </w:rPr>
        <w:t>Estrategias para promover una efectiva cultura de riesgos en la empresa</w:t>
      </w:r>
    </w:p>
    <w:p w14:paraId="0AEAC8CD" w14:textId="77777777" w:rsidR="002E1A3B" w:rsidRPr="002E1A3B" w:rsidRDefault="002E1A3B" w:rsidP="002E1A3B">
      <w:pPr>
        <w:spacing w:before="240" w:after="24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Incentivos para el fortalecimiento de la cultura de gestión del riesgo</w:t>
      </w:r>
    </w:p>
    <w:p w14:paraId="6C260B7B" w14:textId="77777777" w:rsidR="002E1A3B" w:rsidRPr="002E1A3B" w:rsidRDefault="002E1A3B" w:rsidP="002E1A3B">
      <w:pPr>
        <w:spacing w:after="0" w:line="240" w:lineRule="auto"/>
        <w:jc w:val="both"/>
        <w:rPr>
          <w:rFonts w:ascii="Tahoma" w:eastAsia="Tahoma" w:hAnsi="Tahoma" w:cs="Tahoma"/>
          <w:kern w:val="0"/>
          <w:highlight w:val="white"/>
          <w:lang w:val="es-ES" w:eastAsia="es-CO"/>
          <w14:ligatures w14:val="none"/>
        </w:rPr>
      </w:pPr>
      <w:r w:rsidRPr="002E1A3B">
        <w:rPr>
          <w:rFonts w:ascii="Tahoma" w:eastAsia="Tahoma" w:hAnsi="Tahoma" w:cs="Tahoma"/>
          <w:kern w:val="0"/>
          <w:highlight w:val="white"/>
          <w:lang w:val="es-ES" w:eastAsia="es-CO"/>
          <w14:ligatures w14:val="none"/>
        </w:rPr>
        <w:t xml:space="preserve">La Junta Directiva aprueba la compensación de los trabajadores por cumplir los indicadores que componen el Tablero Balanceado de Gestión (TBG) los cuales representan los asuntos estratégicos más relevantes. </w:t>
      </w:r>
    </w:p>
    <w:p w14:paraId="0A935191" w14:textId="77777777" w:rsidR="002E1A3B" w:rsidRPr="002E1A3B" w:rsidRDefault="002E1A3B" w:rsidP="002E1A3B">
      <w:pPr>
        <w:spacing w:after="0" w:line="240" w:lineRule="auto"/>
        <w:jc w:val="both"/>
        <w:rPr>
          <w:rFonts w:ascii="Tahoma" w:eastAsia="Tahoma" w:hAnsi="Tahoma" w:cs="Tahoma"/>
          <w:kern w:val="0"/>
          <w:highlight w:val="white"/>
          <w:lang w:val="es-ES" w:eastAsia="es-CO"/>
          <w14:ligatures w14:val="none"/>
        </w:rPr>
      </w:pPr>
    </w:p>
    <w:p w14:paraId="50ACE019"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El valor del bono es proporcional al desempeño demostrado por los colaboradores en el año y se paga una vez se ha cumplido el período evaluado.</w:t>
      </w:r>
    </w:p>
    <w:p w14:paraId="131DF04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E98B646"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lang w:val="es-ES" w:eastAsia="es-CO"/>
          <w14:ligatures w14:val="none"/>
        </w:rPr>
        <w:t>Capacitación sobre gestión de riesgos </w:t>
      </w:r>
    </w:p>
    <w:p w14:paraId="4395A8BF"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F7770E4" w14:textId="77777777" w:rsidR="002E1A3B" w:rsidRPr="002E1A3B" w:rsidRDefault="002E1A3B" w:rsidP="00AC1146">
      <w:pPr>
        <w:numPr>
          <w:ilvl w:val="0"/>
          <w:numId w:val="3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Capacitación a directivos no ejecutivos sobre el Plan de Continuidad del Negocio, revisión y actualización de este plan. </w:t>
      </w:r>
    </w:p>
    <w:p w14:paraId="0432BBF0" w14:textId="77777777" w:rsidR="002E1A3B" w:rsidRPr="002E1A3B" w:rsidRDefault="002E1A3B" w:rsidP="00AC1146">
      <w:pPr>
        <w:numPr>
          <w:ilvl w:val="0"/>
          <w:numId w:val="3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Formaciones en Análisis de Riesgos para las Ofertas y Proyectos dirigido al equipo de Negocios B2B y Soluciones Energéticas Distribuidas (SED).</w:t>
      </w:r>
    </w:p>
    <w:p w14:paraId="2960A940" w14:textId="77777777" w:rsidR="002E1A3B" w:rsidRPr="002E1A3B" w:rsidRDefault="002E1A3B" w:rsidP="00AC1146">
      <w:pPr>
        <w:numPr>
          <w:ilvl w:val="0"/>
          <w:numId w:val="35"/>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Campaña masiva para la Gestión Integral de Riesgos mediante la cual se divulgaron durante un mes piezas y videos para la apropiación de la Gestión de Riesgos en todos los procesos. La campaña incluyó la evaluación de los conocimientos aprendidos.</w:t>
      </w:r>
    </w:p>
    <w:p w14:paraId="7C49C587" w14:textId="77777777" w:rsidR="002E1A3B" w:rsidRDefault="002E1A3B" w:rsidP="002E1A3B">
      <w:pPr>
        <w:spacing w:after="0" w:line="240" w:lineRule="auto"/>
        <w:rPr>
          <w:rFonts w:ascii="Tahoma" w:eastAsia="Tahoma" w:hAnsi="Tahoma" w:cs="Tahoma"/>
          <w:kern w:val="0"/>
          <w:lang w:val="es-ES" w:eastAsia="es-CO"/>
          <w14:ligatures w14:val="none"/>
        </w:rPr>
      </w:pPr>
    </w:p>
    <w:p w14:paraId="5A2D185B" w14:textId="77777777" w:rsidR="00B83A53" w:rsidRDefault="00B83A53" w:rsidP="002E1A3B">
      <w:pPr>
        <w:spacing w:after="0" w:line="240" w:lineRule="auto"/>
        <w:rPr>
          <w:rFonts w:ascii="Tahoma" w:eastAsia="Tahoma" w:hAnsi="Tahoma" w:cs="Tahoma"/>
          <w:kern w:val="0"/>
          <w:lang w:val="es-ES" w:eastAsia="es-CO"/>
          <w14:ligatures w14:val="none"/>
        </w:rPr>
      </w:pPr>
    </w:p>
    <w:p w14:paraId="64A65295" w14:textId="77777777" w:rsidR="00B83A53" w:rsidRDefault="00B83A53" w:rsidP="002E1A3B">
      <w:pPr>
        <w:spacing w:after="0" w:line="240" w:lineRule="auto"/>
        <w:rPr>
          <w:rFonts w:ascii="Tahoma" w:eastAsia="Tahoma" w:hAnsi="Tahoma" w:cs="Tahoma"/>
          <w:kern w:val="0"/>
          <w:lang w:val="es-ES" w:eastAsia="es-CO"/>
          <w14:ligatures w14:val="none"/>
        </w:rPr>
      </w:pPr>
    </w:p>
    <w:p w14:paraId="33B87DDD" w14:textId="77777777" w:rsidR="00B83A53" w:rsidRPr="002E1A3B" w:rsidRDefault="00B83A53" w:rsidP="002E1A3B">
      <w:pPr>
        <w:spacing w:after="0" w:line="240" w:lineRule="auto"/>
        <w:rPr>
          <w:rFonts w:ascii="Tahoma" w:eastAsia="Tahoma" w:hAnsi="Tahoma" w:cs="Tahoma"/>
          <w:kern w:val="0"/>
          <w:lang w:val="es-ES" w:eastAsia="es-CO"/>
          <w14:ligatures w14:val="none"/>
        </w:rPr>
      </w:pPr>
    </w:p>
    <w:p w14:paraId="352BBE9C" w14:textId="77777777" w:rsidR="002E1A3B" w:rsidRPr="00B83A53" w:rsidRDefault="002E1A3B" w:rsidP="002E1A3B">
      <w:pPr>
        <w:spacing w:after="0" w:line="240" w:lineRule="auto"/>
        <w:jc w:val="both"/>
        <w:rPr>
          <w:rFonts w:ascii="Tahoma" w:eastAsia="Tahoma" w:hAnsi="Tahoma" w:cs="Tahoma"/>
          <w:b/>
          <w:color w:val="0070C0"/>
          <w:kern w:val="0"/>
          <w:sz w:val="32"/>
          <w:szCs w:val="32"/>
          <w:lang w:val="es-ES" w:eastAsia="es-CO"/>
          <w14:ligatures w14:val="none"/>
        </w:rPr>
      </w:pPr>
      <w:r w:rsidRPr="00B83A53">
        <w:rPr>
          <w:rFonts w:ascii="Tahoma" w:eastAsia="Tahoma" w:hAnsi="Tahoma" w:cs="Tahoma"/>
          <w:b/>
          <w:color w:val="0070C0"/>
          <w:kern w:val="0"/>
          <w:sz w:val="32"/>
          <w:szCs w:val="32"/>
          <w:lang w:val="es-ES" w:eastAsia="es-CO"/>
          <w14:ligatures w14:val="none"/>
        </w:rPr>
        <w:lastRenderedPageBreak/>
        <w:t>Plan de continuidad y protocolos para la gestión de crisis</w:t>
      </w:r>
    </w:p>
    <w:p w14:paraId="6A3C362B"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22F7051C"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El Plan de Continuidad del Negocio de TRANSELCA se enfoca en establecer e implementar los mecanismos necesarios para la prevención y respuesta ante la materialización de riesgos a partir de un marco de actuación que permita salvaguardar los intereses de los grupos de interés, finanzas, reputación y actividades de generación de valor.</w:t>
      </w:r>
    </w:p>
    <w:p w14:paraId="798BD5D1"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4969A2E"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Ante la materialización de un riesgo se define un plan de respuesta que contempla:</w:t>
      </w:r>
    </w:p>
    <w:p w14:paraId="20A595BA"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0B6DD132" w14:textId="77777777" w:rsidR="002E1A3B" w:rsidRPr="002E1A3B" w:rsidRDefault="002E1A3B" w:rsidP="00AC1146">
      <w:pPr>
        <w:numPr>
          <w:ilvl w:val="0"/>
          <w:numId w:val="36"/>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Plan de gestión y comunicaciones en crisis </w:t>
      </w:r>
    </w:p>
    <w:p w14:paraId="0EFF2FBA" w14:textId="77777777" w:rsidR="002E1A3B" w:rsidRPr="002E1A3B" w:rsidRDefault="002E1A3B" w:rsidP="00AC1146">
      <w:pPr>
        <w:numPr>
          <w:ilvl w:val="0"/>
          <w:numId w:val="36"/>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Plan de continuidad del negocio</w:t>
      </w:r>
    </w:p>
    <w:p w14:paraId="6ED6ADC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3CD4FEB6"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kern w:val="0"/>
          <w:highlight w:val="white"/>
          <w:lang w:val="es-ES" w:eastAsia="es-CO"/>
          <w14:ligatures w14:val="none"/>
        </w:rPr>
        <w:t>Estos planes están articulados entre sí para generar una respuesta y recuperación integral ante las diferentes situaciones a las que se exponga la organización.</w:t>
      </w:r>
    </w:p>
    <w:p w14:paraId="523C631C"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71B2FE96" w14:textId="77777777" w:rsidR="002E1A3B" w:rsidRPr="002E1A3B" w:rsidRDefault="002E1A3B" w:rsidP="002E1A3B">
      <w:p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Estructura de gobierno para el Plan de Continuidad del Negocio</w:t>
      </w:r>
    </w:p>
    <w:p w14:paraId="7ADDC363"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289DB9C2" w14:textId="77777777" w:rsidR="002E1A3B" w:rsidRPr="002E1A3B" w:rsidRDefault="002E1A3B" w:rsidP="00AC1146">
      <w:pPr>
        <w:numPr>
          <w:ilvl w:val="0"/>
          <w:numId w:val="37"/>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Nivel estratégico:</w:t>
      </w:r>
      <w:r w:rsidRPr="002E1A3B">
        <w:rPr>
          <w:rFonts w:ascii="Tahoma" w:eastAsia="Tahoma" w:hAnsi="Tahoma" w:cs="Tahoma"/>
          <w:kern w:val="0"/>
          <w:highlight w:val="white"/>
          <w:lang w:val="es-ES" w:eastAsia="es-CO"/>
          <w14:ligatures w14:val="none"/>
        </w:rPr>
        <w:t xml:space="preserve"> Comité de Crisis encargado de la toma de decisiones particulares que pueden ser generadas desde la activación de situaciones de crisis o el escalamiento desde planes ya establecidos de continuidad del negocio, recuperación de desastres, emergencia, ciber seguridad, entre otros.</w:t>
      </w:r>
    </w:p>
    <w:p w14:paraId="45EC06A4" w14:textId="77777777" w:rsidR="002E1A3B" w:rsidRPr="002E1A3B" w:rsidRDefault="002E1A3B" w:rsidP="002E1A3B">
      <w:pPr>
        <w:spacing w:after="0" w:line="240" w:lineRule="auto"/>
        <w:ind w:left="720"/>
        <w:jc w:val="both"/>
        <w:rPr>
          <w:rFonts w:ascii="Tahoma" w:eastAsia="Tahoma" w:hAnsi="Tahoma" w:cs="Tahoma"/>
          <w:kern w:val="0"/>
          <w:lang w:val="es-ES" w:eastAsia="es-CO"/>
          <w14:ligatures w14:val="none"/>
        </w:rPr>
      </w:pPr>
    </w:p>
    <w:p w14:paraId="0AC7A024" w14:textId="77777777" w:rsidR="002E1A3B" w:rsidRPr="002E1A3B" w:rsidRDefault="002E1A3B" w:rsidP="00AC1146">
      <w:pPr>
        <w:numPr>
          <w:ilvl w:val="0"/>
          <w:numId w:val="37"/>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Nivel táctico:</w:t>
      </w:r>
      <w:r w:rsidRPr="002E1A3B">
        <w:rPr>
          <w:rFonts w:ascii="Tahoma" w:eastAsia="Tahoma" w:hAnsi="Tahoma" w:cs="Tahoma"/>
          <w:kern w:val="0"/>
          <w:highlight w:val="white"/>
          <w:lang w:val="es-ES" w:eastAsia="es-CO"/>
          <w14:ligatures w14:val="none"/>
        </w:rPr>
        <w:t xml:space="preserve"> Gestiona de manera preventiva todas las situaciones que puedan afectar la continuidad del negocio, antes de que los impactos evidencien la materialización de una crisis. </w:t>
      </w:r>
    </w:p>
    <w:p w14:paraId="27574166" w14:textId="77777777" w:rsidR="002E1A3B" w:rsidRPr="002E1A3B" w:rsidRDefault="002E1A3B" w:rsidP="002E1A3B">
      <w:pPr>
        <w:spacing w:after="0" w:line="240" w:lineRule="auto"/>
        <w:rPr>
          <w:rFonts w:ascii="Tahoma" w:eastAsia="Tahoma" w:hAnsi="Tahoma" w:cs="Tahoma"/>
          <w:kern w:val="0"/>
          <w:lang w:val="es-ES" w:eastAsia="es-CO"/>
          <w14:ligatures w14:val="none"/>
        </w:rPr>
      </w:pPr>
    </w:p>
    <w:p w14:paraId="5974A1FF" w14:textId="77777777" w:rsidR="002E1A3B" w:rsidRPr="002E1A3B" w:rsidRDefault="002E1A3B" w:rsidP="00AC1146">
      <w:pPr>
        <w:numPr>
          <w:ilvl w:val="0"/>
          <w:numId w:val="38"/>
        </w:numPr>
        <w:spacing w:after="0" w:line="240" w:lineRule="auto"/>
        <w:jc w:val="both"/>
        <w:rPr>
          <w:rFonts w:ascii="Tahoma" w:eastAsia="Tahoma" w:hAnsi="Tahoma" w:cs="Tahoma"/>
          <w:b/>
          <w:kern w:val="0"/>
          <w:lang w:val="es-ES" w:eastAsia="es-CO"/>
          <w14:ligatures w14:val="none"/>
        </w:rPr>
      </w:pPr>
      <w:r w:rsidRPr="002E1A3B">
        <w:rPr>
          <w:rFonts w:ascii="Tahoma" w:eastAsia="Tahoma" w:hAnsi="Tahoma" w:cs="Tahoma"/>
          <w:b/>
          <w:kern w:val="0"/>
          <w:highlight w:val="white"/>
          <w:lang w:val="es-ES" w:eastAsia="es-CO"/>
          <w14:ligatures w14:val="none"/>
        </w:rPr>
        <w:t>Nivel operativo: </w:t>
      </w:r>
    </w:p>
    <w:p w14:paraId="6A779976" w14:textId="77777777" w:rsidR="002E1A3B" w:rsidRPr="002E1A3B" w:rsidRDefault="002E1A3B" w:rsidP="00AC1146">
      <w:pPr>
        <w:numPr>
          <w:ilvl w:val="1"/>
          <w:numId w:val="38"/>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Líderes de equipos de procesos críticos:</w:t>
      </w:r>
      <w:r w:rsidRPr="002E1A3B">
        <w:rPr>
          <w:rFonts w:ascii="Tahoma" w:eastAsia="Tahoma" w:hAnsi="Tahoma" w:cs="Tahoma"/>
          <w:kern w:val="0"/>
          <w:highlight w:val="white"/>
          <w:lang w:val="es-ES" w:eastAsia="es-CO"/>
          <w14:ligatures w14:val="none"/>
        </w:rPr>
        <w:t xml:space="preserve"> son responsables de activar planes de contingencia y de operar bajo condiciones de continuidad.</w:t>
      </w:r>
    </w:p>
    <w:p w14:paraId="09473E4E" w14:textId="77777777" w:rsidR="002E1A3B" w:rsidRPr="002E1A3B" w:rsidRDefault="002E1A3B" w:rsidP="00AC1146">
      <w:pPr>
        <w:numPr>
          <w:ilvl w:val="1"/>
          <w:numId w:val="38"/>
        </w:numPr>
        <w:spacing w:after="0" w:line="240" w:lineRule="auto"/>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Equipos resolutores (TI/TO):</w:t>
      </w:r>
      <w:r w:rsidRPr="002E1A3B">
        <w:rPr>
          <w:rFonts w:ascii="Tahoma" w:eastAsia="Tahoma" w:hAnsi="Tahoma" w:cs="Tahoma"/>
          <w:kern w:val="0"/>
          <w:highlight w:val="white"/>
          <w:lang w:val="es-ES" w:eastAsia="es-CO"/>
          <w14:ligatures w14:val="none"/>
        </w:rPr>
        <w:t xml:space="preserve"> son responsables de la respuesta y la recuperación de los servicios tecnológicos por medio de protocolos de contención ante eventos tecnológicos o cibernéticos.</w:t>
      </w:r>
    </w:p>
    <w:p w14:paraId="0D2DE22C" w14:textId="77777777" w:rsidR="002E1A3B" w:rsidRPr="002E1A3B" w:rsidRDefault="002E1A3B" w:rsidP="00AC1146">
      <w:pPr>
        <w:numPr>
          <w:ilvl w:val="1"/>
          <w:numId w:val="38"/>
        </w:numPr>
        <w:spacing w:before="220" w:after="0" w:line="240" w:lineRule="auto"/>
        <w:ind w:right="160"/>
        <w:jc w:val="both"/>
        <w:rPr>
          <w:rFonts w:ascii="Tahoma" w:eastAsia="Tahoma" w:hAnsi="Tahoma" w:cs="Tahoma"/>
          <w:kern w:val="0"/>
          <w:lang w:val="es-ES" w:eastAsia="es-CO"/>
          <w14:ligatures w14:val="none"/>
        </w:rPr>
      </w:pPr>
      <w:r w:rsidRPr="002E1A3B">
        <w:rPr>
          <w:rFonts w:ascii="Tahoma" w:eastAsia="Tahoma" w:hAnsi="Tahoma" w:cs="Tahoma"/>
          <w:b/>
          <w:kern w:val="0"/>
          <w:highlight w:val="white"/>
          <w:lang w:val="es-ES" w:eastAsia="es-CO"/>
          <w14:ligatures w14:val="none"/>
        </w:rPr>
        <w:t>Equipo de respuesta a emergencia:</w:t>
      </w:r>
      <w:r w:rsidRPr="002E1A3B">
        <w:rPr>
          <w:rFonts w:ascii="Tahoma" w:eastAsia="Tahoma" w:hAnsi="Tahoma" w:cs="Tahoma"/>
          <w:kern w:val="0"/>
          <w:highlight w:val="white"/>
          <w:lang w:val="es-ES" w:eastAsia="es-CO"/>
          <w14:ligatures w14:val="none"/>
        </w:rPr>
        <w:t xml:space="preserve"> se ocupa de la primera respuesta a eventos que requieran activación de emergencia por la afectación de las personas, infraestructura física o el medio ambiente.</w:t>
      </w:r>
    </w:p>
    <w:p w14:paraId="29EA62D9" w14:textId="799C80EE" w:rsidR="0031711E" w:rsidRDefault="0031711E" w:rsidP="00415262">
      <w:pPr>
        <w:rPr>
          <w:rFonts w:ascii="Calibri" w:hAnsi="Calibri" w:cs="Calibri"/>
          <w:sz w:val="52"/>
          <w:szCs w:val="52"/>
          <w:lang w:val="es-ES"/>
        </w:rPr>
      </w:pPr>
    </w:p>
    <w:p w14:paraId="41861F3C" w14:textId="77777777" w:rsidR="0031711E" w:rsidRDefault="0031711E">
      <w:pPr>
        <w:rPr>
          <w:rFonts w:ascii="Calibri" w:hAnsi="Calibri" w:cs="Calibri"/>
          <w:sz w:val="52"/>
          <w:szCs w:val="52"/>
          <w:lang w:val="es-ES"/>
        </w:rPr>
      </w:pPr>
      <w:r>
        <w:rPr>
          <w:rFonts w:ascii="Calibri" w:hAnsi="Calibri" w:cs="Calibri"/>
          <w:sz w:val="52"/>
          <w:szCs w:val="52"/>
          <w:lang w:val="es-ES"/>
        </w:rPr>
        <w:lastRenderedPageBreak/>
        <w:br w:type="page"/>
      </w:r>
    </w:p>
    <w:p w14:paraId="44087079" w14:textId="3E2DD9FE" w:rsidR="00492BD5" w:rsidRDefault="0031711E" w:rsidP="00415262">
      <w:pPr>
        <w:rPr>
          <w:rFonts w:ascii="Calibri" w:hAnsi="Calibri" w:cs="Calibri"/>
          <w:sz w:val="52"/>
          <w:szCs w:val="52"/>
          <w:lang w:val="es-ES"/>
        </w:rPr>
      </w:pPr>
      <w:bookmarkStart w:id="7" w:name="MATERIALIDAD"/>
      <w:r>
        <w:rPr>
          <w:rFonts w:ascii="Calibri" w:hAnsi="Calibri" w:cs="Calibri"/>
          <w:noProof/>
          <w:sz w:val="52"/>
          <w:szCs w:val="52"/>
          <w:lang w:val="es-ES"/>
        </w:rPr>
        <w:lastRenderedPageBreak/>
        <w:drawing>
          <wp:inline distT="0" distB="0" distL="0" distR="0" wp14:anchorId="0B849E10" wp14:editId="7CA47051">
            <wp:extent cx="5612130" cy="7262495"/>
            <wp:effectExtent l="0" t="0" r="1270" b="1905"/>
            <wp:docPr id="1244608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821" name="Imagen 1244608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7"/>
    </w:p>
    <w:p w14:paraId="0010CA35" w14:textId="77777777" w:rsidR="00492BD5" w:rsidRDefault="00492BD5">
      <w:pPr>
        <w:rPr>
          <w:rFonts w:ascii="Calibri" w:hAnsi="Calibri" w:cs="Calibri"/>
          <w:sz w:val="52"/>
          <w:szCs w:val="52"/>
          <w:lang w:val="es-ES"/>
        </w:rPr>
      </w:pPr>
      <w:r>
        <w:rPr>
          <w:rFonts w:ascii="Calibri" w:hAnsi="Calibri" w:cs="Calibri"/>
          <w:sz w:val="52"/>
          <w:szCs w:val="52"/>
          <w:lang w:val="es-ES"/>
        </w:rPr>
        <w:br w:type="page"/>
      </w:r>
    </w:p>
    <w:p w14:paraId="32CE254B" w14:textId="5F1FACA9" w:rsidR="000B5DC4" w:rsidRPr="00B83A53" w:rsidRDefault="00B83A53" w:rsidP="000B5DC4">
      <w:pPr>
        <w:spacing w:after="0" w:line="240" w:lineRule="auto"/>
        <w:jc w:val="both"/>
        <w:rPr>
          <w:rFonts w:ascii="Tahoma" w:eastAsia="Arial" w:hAnsi="Tahoma" w:cs="Tahoma"/>
          <w:b/>
          <w:color w:val="0070C0"/>
          <w:kern w:val="0"/>
          <w:sz w:val="36"/>
          <w:szCs w:val="40"/>
          <w:lang w:eastAsia="es-CO"/>
          <w14:ligatures w14:val="none"/>
        </w:rPr>
      </w:pPr>
      <w:r w:rsidRPr="00B83A53">
        <w:rPr>
          <w:rFonts w:ascii="Tahoma" w:eastAsia="Arial" w:hAnsi="Tahoma" w:cs="Tahoma"/>
          <w:b/>
          <w:color w:val="0070C0"/>
          <w:kern w:val="0"/>
          <w:sz w:val="36"/>
          <w:szCs w:val="40"/>
          <w:lang w:eastAsia="es-CO"/>
          <w14:ligatures w14:val="none"/>
        </w:rPr>
        <w:lastRenderedPageBreak/>
        <w:t>Gestión de asuntos relevantes</w:t>
      </w:r>
    </w:p>
    <w:p w14:paraId="29798FBB" w14:textId="77777777" w:rsidR="000B5DC4" w:rsidRPr="000B5DC4" w:rsidRDefault="000B5DC4" w:rsidP="000B5DC4">
      <w:pPr>
        <w:spacing w:after="0" w:line="240" w:lineRule="auto"/>
        <w:rPr>
          <w:rFonts w:ascii="Tahoma" w:eastAsia="Arial" w:hAnsi="Tahoma" w:cs="Tahoma"/>
          <w:kern w:val="0"/>
          <w:sz w:val="14"/>
          <w:szCs w:val="14"/>
          <w:lang w:eastAsia="es-CO"/>
          <w14:ligatures w14:val="none"/>
        </w:rPr>
      </w:pPr>
    </w:p>
    <w:p w14:paraId="378BCF7A"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En ISA y sus empresas existe un modelo integrado de reputación y sostenibilidad compuesto por 9 dimensiones y 28 asuntos que permite enfocar su gestión en temas que impactan la confianza de los grupos de interés y propenden por la construcción de valor sostenible. </w:t>
      </w:r>
    </w:p>
    <w:p w14:paraId="09A34D4C"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Este modelo se revisa cada dos años mediante un proceso de escucha y diálogo con los grupos de interés. El último estudio que se realizó a mediados de 2024 permitió actualizar las dimensiones de solidez y crecimiento; contribución proactiva a los desafíos ambientales globales y las alianzas estratégicas para la transformación; y atracción, desarrollo y cuidado del mejor talento.</w:t>
      </w:r>
    </w:p>
    <w:p w14:paraId="58D90525" w14:textId="77777777" w:rsidR="000B5DC4" w:rsidRPr="000B5DC4" w:rsidRDefault="00C11E42" w:rsidP="000B5DC4">
      <w:pPr>
        <w:spacing w:after="0" w:line="240" w:lineRule="auto"/>
        <w:jc w:val="both"/>
        <w:rPr>
          <w:rFonts w:ascii="Tahoma" w:eastAsia="Arial" w:hAnsi="Tahoma" w:cs="Tahoma"/>
          <w:kern w:val="0"/>
          <w:lang w:eastAsia="es-CO"/>
          <w14:ligatures w14:val="none"/>
        </w:rPr>
      </w:pPr>
      <w:sdt>
        <w:sdtPr>
          <w:rPr>
            <w:rFonts w:ascii="Tahoma" w:eastAsia="Calibri" w:hAnsi="Tahoma" w:cs="Tahoma"/>
            <w:kern w:val="0"/>
            <w:sz w:val="22"/>
            <w:szCs w:val="22"/>
            <w:lang w:eastAsia="es-CO"/>
            <w14:ligatures w14:val="none"/>
          </w:rPr>
          <w:tag w:val="goog_rdk_0"/>
          <w:id w:val="134997235"/>
        </w:sdtPr>
        <w:sdtEndPr/>
        <w:sdtContent/>
      </w:sdt>
      <w:r w:rsidR="000B5DC4" w:rsidRPr="000B5DC4">
        <w:rPr>
          <w:rFonts w:ascii="Tahoma" w:eastAsia="Arial" w:hAnsi="Tahoma" w:cs="Tahoma"/>
          <w:noProof/>
          <w:kern w:val="0"/>
          <w:lang w:eastAsia="es-CO"/>
          <w14:ligatures w14:val="none"/>
        </w:rPr>
        <w:drawing>
          <wp:inline distT="0" distB="0" distL="0" distR="0" wp14:anchorId="3EA43F60" wp14:editId="3E200ABC">
            <wp:extent cx="5027828" cy="2652722"/>
            <wp:effectExtent l="0" t="0" r="0" b="0"/>
            <wp:docPr id="19816092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5027828" cy="2652722"/>
                    </a:xfrm>
                    <a:prstGeom prst="rect">
                      <a:avLst/>
                    </a:prstGeom>
                    <a:ln/>
                  </pic:spPr>
                </pic:pic>
              </a:graphicData>
            </a:graphic>
          </wp:inline>
        </w:drawing>
      </w:r>
    </w:p>
    <w:p w14:paraId="18A7408C" w14:textId="77777777" w:rsidR="000B5DC4" w:rsidRPr="000B5DC4" w:rsidRDefault="000B5DC4" w:rsidP="000B5DC4">
      <w:pPr>
        <w:spacing w:after="0" w:line="240" w:lineRule="auto"/>
        <w:rPr>
          <w:rFonts w:ascii="Tahoma" w:eastAsia="Arial" w:hAnsi="Tahoma" w:cs="Tahoma"/>
          <w:kern w:val="0"/>
          <w:lang w:eastAsia="es-CO"/>
          <w14:ligatures w14:val="none"/>
        </w:rPr>
      </w:pPr>
    </w:p>
    <w:p w14:paraId="6364081C" w14:textId="77777777" w:rsidR="000B5DC4" w:rsidRPr="000B5DC4" w:rsidRDefault="000B5DC4" w:rsidP="000B5DC4">
      <w:pPr>
        <w:spacing w:after="0" w:line="240" w:lineRule="auto"/>
        <w:rPr>
          <w:rFonts w:ascii="Tahoma" w:eastAsia="Arial" w:hAnsi="Tahoma" w:cs="Tahoma"/>
          <w:kern w:val="0"/>
          <w:lang w:eastAsia="es-CO"/>
          <w14:ligatures w14:val="none"/>
        </w:rPr>
      </w:pPr>
    </w:p>
    <w:p w14:paraId="0F97FE6E" w14:textId="771419F2" w:rsidR="000B5DC4" w:rsidRPr="00B83A53" w:rsidRDefault="00B83A53" w:rsidP="000B5DC4">
      <w:pPr>
        <w:spacing w:after="0" w:line="240" w:lineRule="auto"/>
        <w:jc w:val="both"/>
        <w:rPr>
          <w:rFonts w:ascii="Tahoma" w:eastAsia="Arial" w:hAnsi="Tahoma" w:cs="Tahoma"/>
          <w:color w:val="0070C0"/>
          <w:kern w:val="0"/>
          <w:sz w:val="36"/>
          <w:szCs w:val="36"/>
          <w:lang w:eastAsia="es-CO"/>
          <w14:ligatures w14:val="none"/>
        </w:rPr>
      </w:pPr>
      <w:r w:rsidRPr="00B83A53">
        <w:rPr>
          <w:rFonts w:ascii="Tahoma" w:eastAsia="Arial" w:hAnsi="Tahoma" w:cs="Tahoma"/>
          <w:b/>
          <w:color w:val="0070C0"/>
          <w:kern w:val="0"/>
          <w:sz w:val="36"/>
          <w:szCs w:val="36"/>
          <w:lang w:eastAsia="es-CO"/>
          <w14:ligatures w14:val="none"/>
        </w:rPr>
        <w:t>Análisis de materialidad</w:t>
      </w:r>
    </w:p>
    <w:p w14:paraId="550876C9" w14:textId="77777777" w:rsidR="000B5DC4" w:rsidRPr="00B83A53" w:rsidRDefault="000B5DC4" w:rsidP="000B5DC4">
      <w:pPr>
        <w:spacing w:line="259" w:lineRule="auto"/>
        <w:rPr>
          <w:rFonts w:ascii="Tahoma" w:eastAsia="Calibri" w:hAnsi="Tahoma" w:cs="Tahoma"/>
          <w:color w:val="0070C0"/>
          <w:kern w:val="0"/>
          <w:sz w:val="22"/>
          <w:szCs w:val="22"/>
          <w:lang w:eastAsia="es-CO"/>
          <w14:ligatures w14:val="none"/>
        </w:rPr>
      </w:pPr>
      <w:r w:rsidRPr="00B83A53">
        <w:rPr>
          <w:rFonts w:ascii="Tahoma" w:eastAsia="Calibri" w:hAnsi="Tahoma" w:cs="Tahoma"/>
          <w:color w:val="0070C0"/>
          <w:kern w:val="0"/>
          <w:sz w:val="22"/>
          <w:szCs w:val="22"/>
          <w:lang w:eastAsia="es-CO"/>
          <w14:ligatures w14:val="none"/>
        </w:rPr>
        <w:t>[GRI 3-1] [GRI 3-2] [GRI 3-3]</w:t>
      </w:r>
    </w:p>
    <w:p w14:paraId="40C1D908" w14:textId="77777777" w:rsidR="000B5DC4" w:rsidRPr="000B5DC4" w:rsidRDefault="000B5DC4" w:rsidP="000B5DC4">
      <w:pPr>
        <w:spacing w:after="0" w:line="240" w:lineRule="auto"/>
        <w:rPr>
          <w:rFonts w:ascii="Tahoma" w:eastAsia="Arial" w:hAnsi="Tahoma" w:cs="Tahoma"/>
          <w:kern w:val="0"/>
          <w:lang w:eastAsia="es-CO"/>
          <w14:ligatures w14:val="none"/>
        </w:rPr>
      </w:pPr>
    </w:p>
    <w:p w14:paraId="67AFE3D7"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Entre julio y agosto de 2024 TRANSELCA realizó nuevamente la consulta a sus grupos de interés para validar la pertinencia y vigencia de los asuntos materiales que se habían priorizado en 2022.</w:t>
      </w:r>
    </w:p>
    <w:p w14:paraId="61C4AA70" w14:textId="77777777" w:rsidR="000B5DC4" w:rsidRPr="000B5DC4" w:rsidRDefault="000B5DC4" w:rsidP="000B5DC4">
      <w:pPr>
        <w:spacing w:after="0" w:line="240" w:lineRule="auto"/>
        <w:rPr>
          <w:rFonts w:ascii="Tahoma" w:eastAsia="Arial" w:hAnsi="Tahoma" w:cs="Tahoma"/>
          <w:kern w:val="0"/>
          <w:lang w:eastAsia="es-CO"/>
          <w14:ligatures w14:val="none"/>
        </w:rPr>
      </w:pPr>
    </w:p>
    <w:p w14:paraId="50CB63C7"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Este ejercicio responde al enfoque de sostenibilidad para abordar los negocios de tal manera que sea transparente, ético y responsable tanto para gestionar las oportunidades como los impactos y riesgos económicos, medioambientales y sociales.</w:t>
      </w:r>
    </w:p>
    <w:p w14:paraId="25BFA203" w14:textId="77777777" w:rsidR="000B5DC4" w:rsidRPr="000B5DC4" w:rsidRDefault="000B5DC4" w:rsidP="000B5DC4">
      <w:pPr>
        <w:spacing w:after="0" w:line="240" w:lineRule="auto"/>
        <w:rPr>
          <w:rFonts w:ascii="Tahoma" w:eastAsia="Arial" w:hAnsi="Tahoma" w:cs="Tahoma"/>
          <w:kern w:val="0"/>
          <w:lang w:eastAsia="es-CO"/>
          <w14:ligatures w14:val="none"/>
        </w:rPr>
      </w:pPr>
    </w:p>
    <w:p w14:paraId="43B702F7"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lastRenderedPageBreak/>
        <w:t>Para la construcción de esta matriz de materialidad TRANSELCA tuvo en cuenta la relevancia externa e interna:</w:t>
      </w:r>
    </w:p>
    <w:p w14:paraId="5EF98835" w14:textId="77777777" w:rsidR="000B5DC4" w:rsidRPr="000B5DC4" w:rsidRDefault="000B5DC4" w:rsidP="000B5DC4">
      <w:pPr>
        <w:spacing w:after="0" w:line="240" w:lineRule="auto"/>
        <w:jc w:val="both"/>
        <w:rPr>
          <w:rFonts w:ascii="Tahoma" w:eastAsia="Arial" w:hAnsi="Tahoma" w:cs="Tahoma"/>
          <w:kern w:val="0"/>
          <w:lang w:eastAsia="es-CO"/>
          <w14:ligatures w14:val="none"/>
        </w:rPr>
      </w:pPr>
    </w:p>
    <w:p w14:paraId="25EB483A"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b/>
          <w:kern w:val="0"/>
          <w:lang w:eastAsia="es-CO"/>
          <w14:ligatures w14:val="none"/>
        </w:rPr>
        <w:t>Externa:</w:t>
      </w:r>
      <w:r w:rsidRPr="000B5DC4">
        <w:rPr>
          <w:rFonts w:ascii="Tahoma" w:eastAsia="Arial" w:hAnsi="Tahoma" w:cs="Tahoma"/>
          <w:kern w:val="0"/>
          <w:lang w:eastAsia="es-CO"/>
          <w14:ligatures w14:val="none"/>
        </w:rPr>
        <w:t xml:space="preserve"> la importancia de los asuntos para los públicos clave, el contexto y las tendencias del sector, así como las exigencias de los reportes no financieros y los requerimientos de los inversores.</w:t>
      </w:r>
    </w:p>
    <w:p w14:paraId="4E3E8CEC" w14:textId="77777777" w:rsidR="000B5DC4" w:rsidRPr="000B5DC4" w:rsidRDefault="000B5DC4" w:rsidP="000B5DC4">
      <w:pPr>
        <w:spacing w:after="0" w:line="240" w:lineRule="auto"/>
        <w:rPr>
          <w:rFonts w:ascii="Tahoma" w:eastAsia="Arial" w:hAnsi="Tahoma" w:cs="Tahoma"/>
          <w:kern w:val="0"/>
          <w:lang w:eastAsia="es-CO"/>
          <w14:ligatures w14:val="none"/>
        </w:rPr>
      </w:pPr>
    </w:p>
    <w:p w14:paraId="50B107E2"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b/>
          <w:kern w:val="0"/>
          <w:lang w:eastAsia="es-CO"/>
          <w14:ligatures w14:val="none"/>
        </w:rPr>
        <w:t>Interna:</w:t>
      </w:r>
      <w:r w:rsidRPr="000B5DC4">
        <w:rPr>
          <w:rFonts w:ascii="Tahoma" w:eastAsia="Arial" w:hAnsi="Tahoma" w:cs="Tahoma"/>
          <w:kern w:val="0"/>
          <w:lang w:eastAsia="es-CO"/>
          <w14:ligatures w14:val="none"/>
        </w:rPr>
        <w:t xml:space="preserve"> la relevancia para el negocio de los distintos atributos del modelo donde se analizaron los impactos de los objetivos estratégicos de la compañía, la magnitud de los riesgos que se presentan, las expectativas de los miembros de la junta y la alta dirección. </w:t>
      </w:r>
    </w:p>
    <w:p w14:paraId="32885440" w14:textId="77777777" w:rsidR="000B5DC4" w:rsidRPr="000B5DC4" w:rsidRDefault="000B5DC4" w:rsidP="000B5DC4">
      <w:pPr>
        <w:spacing w:after="0" w:line="240" w:lineRule="auto"/>
        <w:rPr>
          <w:rFonts w:ascii="Tahoma" w:eastAsia="Arial" w:hAnsi="Tahoma" w:cs="Tahoma"/>
          <w:kern w:val="0"/>
          <w:lang w:eastAsia="es-CO"/>
          <w14:ligatures w14:val="none"/>
        </w:rPr>
      </w:pPr>
    </w:p>
    <w:p w14:paraId="3314EB59"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También se consideraron las tendencias en materia ambiental, social y de gobernanza (ASG) y la relevancia de los atributos para otras compañías del sector, con el fin de crear valor para los grupos de interés, mantener su ventaja competitiva y contribuir al desarrollo de las sociedades donde hace presencia.</w:t>
      </w:r>
    </w:p>
    <w:p w14:paraId="449595D7" w14:textId="77777777" w:rsidR="000B5DC4" w:rsidRPr="000B5DC4" w:rsidRDefault="000B5DC4" w:rsidP="000B5DC4">
      <w:pPr>
        <w:spacing w:after="0" w:line="240" w:lineRule="auto"/>
        <w:jc w:val="both"/>
        <w:rPr>
          <w:rFonts w:ascii="Tahoma" w:eastAsia="Arial" w:hAnsi="Tahoma" w:cs="Tahoma"/>
          <w:kern w:val="0"/>
          <w:lang w:eastAsia="es-CO"/>
          <w14:ligatures w14:val="none"/>
        </w:rPr>
      </w:pPr>
    </w:p>
    <w:p w14:paraId="39A23126"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Este estudio incluyó las cinco (5) etapas que se describen a continuación y permitió conocer las expectativas y percepciones de los públicos más relevantes para la compañía, así como las claves de la construcción y destrucción de la confianza con ellos. </w:t>
      </w:r>
    </w:p>
    <w:p w14:paraId="1E4442B1" w14:textId="77777777" w:rsidR="000B5DC4" w:rsidRPr="000B5DC4" w:rsidRDefault="000B5DC4" w:rsidP="000B5DC4">
      <w:pPr>
        <w:spacing w:after="0" w:line="240" w:lineRule="auto"/>
        <w:rPr>
          <w:rFonts w:ascii="Tahoma" w:eastAsia="Arial" w:hAnsi="Tahoma" w:cs="Tahoma"/>
          <w:kern w:val="0"/>
          <w:lang w:eastAsia="es-CO"/>
          <w14:ligatures w14:val="none"/>
        </w:rPr>
      </w:pPr>
    </w:p>
    <w:p w14:paraId="3BBF4982"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b/>
          <w:kern w:val="0"/>
          <w:lang w:eastAsia="es-CO"/>
          <w14:ligatures w14:val="none"/>
        </w:rPr>
        <w:t>Etapas</w:t>
      </w:r>
    </w:p>
    <w:p w14:paraId="3473C576" w14:textId="77777777" w:rsidR="000B5DC4" w:rsidRPr="000B5DC4" w:rsidRDefault="000B5DC4" w:rsidP="000B5DC4">
      <w:pPr>
        <w:spacing w:after="0" w:line="240" w:lineRule="auto"/>
        <w:rPr>
          <w:rFonts w:ascii="Tahoma" w:eastAsia="Arial" w:hAnsi="Tahoma" w:cs="Tahoma"/>
          <w:kern w:val="0"/>
          <w:lang w:eastAsia="es-CO"/>
          <w14:ligatures w14:val="none"/>
        </w:rPr>
      </w:pPr>
    </w:p>
    <w:p w14:paraId="586B1369"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1: Análisis de los avances del primer año de vida de los planes</w:t>
      </w:r>
    </w:p>
    <w:p w14:paraId="1ED4914B"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2: Actualización del terreno de juego y ponderación de los públicos clave</w:t>
      </w:r>
    </w:p>
    <w:p w14:paraId="5BD69E2C"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3: Preparación de la salida a campo </w:t>
      </w:r>
    </w:p>
    <w:p w14:paraId="537ED31A"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4: Escucha y diálogo con los públicos clave </w:t>
      </w:r>
    </w:p>
    <w:p w14:paraId="43757379"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5: Análisis de conjunto de los resultados: Índice de reputación y matriz de materialidad</w:t>
      </w:r>
    </w:p>
    <w:p w14:paraId="0BDBB96F" w14:textId="77777777" w:rsidR="000B5DC4" w:rsidRPr="000B5DC4" w:rsidRDefault="000B5DC4" w:rsidP="000B5DC4">
      <w:pPr>
        <w:spacing w:after="0" w:line="240" w:lineRule="auto"/>
        <w:rPr>
          <w:rFonts w:ascii="Tahoma" w:eastAsia="Arial" w:hAnsi="Tahoma" w:cs="Tahoma"/>
          <w:kern w:val="0"/>
          <w:lang w:eastAsia="es-CO"/>
          <w14:ligatures w14:val="none"/>
        </w:rPr>
      </w:pPr>
    </w:p>
    <w:p w14:paraId="07658DF3"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Este análisis contempló </w:t>
      </w:r>
      <w:r w:rsidRPr="000B5DC4">
        <w:rPr>
          <w:rFonts w:ascii="Tahoma" w:eastAsia="Arial" w:hAnsi="Tahoma" w:cs="Tahoma"/>
          <w:b/>
          <w:kern w:val="0"/>
          <w:sz w:val="22"/>
          <w:szCs w:val="22"/>
          <w:lang w:eastAsia="es-CO"/>
          <w14:ligatures w14:val="none"/>
        </w:rPr>
        <w:t xml:space="preserve">145 </w:t>
      </w:r>
      <w:r w:rsidRPr="000B5DC4">
        <w:rPr>
          <w:rFonts w:ascii="Tahoma" w:eastAsia="Arial" w:hAnsi="Tahoma" w:cs="Tahoma"/>
          <w:kern w:val="0"/>
          <w:sz w:val="22"/>
          <w:szCs w:val="22"/>
          <w:lang w:eastAsia="es-CO"/>
          <w14:ligatures w14:val="none"/>
        </w:rPr>
        <w:t xml:space="preserve">consultas con </w:t>
      </w:r>
      <w:r w:rsidRPr="000B5DC4">
        <w:rPr>
          <w:rFonts w:ascii="Tahoma" w:eastAsia="Arial" w:hAnsi="Tahoma" w:cs="Tahoma"/>
          <w:kern w:val="0"/>
          <w:lang w:eastAsia="es-CO"/>
          <w14:ligatures w14:val="none"/>
        </w:rPr>
        <w:t>dos enfoques:</w:t>
      </w:r>
    </w:p>
    <w:p w14:paraId="5E0366B6"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b/>
          <w:kern w:val="0"/>
          <w:lang w:eastAsia="es-CO"/>
          <w14:ligatures w14:val="none"/>
        </w:rPr>
        <w:t>Cualitativo:</w:t>
      </w:r>
      <w:r w:rsidRPr="000B5DC4">
        <w:rPr>
          <w:rFonts w:ascii="Tahoma" w:eastAsia="Arial" w:hAnsi="Tahoma" w:cs="Tahoma"/>
          <w:kern w:val="0"/>
          <w:lang w:eastAsia="es-CO"/>
          <w14:ligatures w14:val="none"/>
        </w:rPr>
        <w:t xml:space="preserve"> los instrumentos implementados fueron 22 entrevistas a profundidad y 3 sesiones de debate.</w:t>
      </w:r>
    </w:p>
    <w:p w14:paraId="4388403D" w14:textId="77777777" w:rsidR="000B5DC4" w:rsidRPr="000B5DC4" w:rsidRDefault="000B5DC4" w:rsidP="000B5DC4">
      <w:pPr>
        <w:spacing w:after="0" w:line="240" w:lineRule="auto"/>
        <w:rPr>
          <w:rFonts w:ascii="Tahoma" w:eastAsia="Arial" w:hAnsi="Tahoma" w:cs="Tahoma"/>
          <w:kern w:val="0"/>
          <w:lang w:eastAsia="es-CO"/>
          <w14:ligatures w14:val="none"/>
        </w:rPr>
      </w:pPr>
    </w:p>
    <w:p w14:paraId="5D15421E"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b/>
          <w:kern w:val="0"/>
          <w:lang w:eastAsia="es-CO"/>
          <w14:ligatures w14:val="none"/>
        </w:rPr>
        <w:t>Cuantitativo</w:t>
      </w:r>
      <w:r w:rsidRPr="000B5DC4">
        <w:rPr>
          <w:rFonts w:ascii="Tahoma" w:eastAsia="Arial" w:hAnsi="Tahoma" w:cs="Tahoma"/>
          <w:kern w:val="0"/>
          <w:lang w:eastAsia="es-CO"/>
          <w14:ligatures w14:val="none"/>
        </w:rPr>
        <w:t>: se aplicaron 120 consultas online a los grupos de interés priorizados</w:t>
      </w:r>
    </w:p>
    <w:p w14:paraId="13967090" w14:textId="77777777" w:rsidR="000B5DC4" w:rsidRPr="000B5DC4" w:rsidRDefault="000B5DC4" w:rsidP="000B5DC4">
      <w:pPr>
        <w:spacing w:after="0" w:line="240" w:lineRule="auto"/>
        <w:rPr>
          <w:rFonts w:ascii="Tahoma" w:eastAsia="Arial" w:hAnsi="Tahoma" w:cs="Tahoma"/>
          <w:kern w:val="0"/>
          <w:lang w:eastAsia="es-CO"/>
          <w14:ligatures w14:val="none"/>
        </w:rPr>
      </w:pPr>
    </w:p>
    <w:p w14:paraId="0D68FADD"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Adicionalmente, para el ámbito de sostenibilidad se realizó un análisis del contexto, un contraste entre el benchmark de compañías y el modelo de ISA y sus empresas donde se revisaron las fuentes externas del análisis de materialidad: Dow Jones Sustainability Index (DJSI), Global Real Estate Sustainability Benchmark (GRESB), Objetivos de Desarrollo Sostenible (ODS), riesgos del World Economic Forum (WEF), </w:t>
      </w:r>
      <w:r w:rsidRPr="000B5DC4">
        <w:rPr>
          <w:rFonts w:ascii="Tahoma" w:eastAsia="Arial" w:hAnsi="Tahoma" w:cs="Tahoma"/>
          <w:kern w:val="0"/>
          <w:lang w:eastAsia="es-CO"/>
          <w14:ligatures w14:val="none"/>
        </w:rPr>
        <w:lastRenderedPageBreak/>
        <w:t>tendencias, entre otros; así como las valoraciones de los externos para definir la relevancia externa de la matriz de materialidad. </w:t>
      </w:r>
    </w:p>
    <w:p w14:paraId="0F6CACC1" w14:textId="77777777" w:rsidR="000B5DC4" w:rsidRPr="000B5DC4" w:rsidRDefault="000B5DC4" w:rsidP="000B5DC4">
      <w:pPr>
        <w:spacing w:after="0" w:line="240" w:lineRule="auto"/>
        <w:rPr>
          <w:rFonts w:ascii="Tahoma" w:eastAsia="Arial" w:hAnsi="Tahoma" w:cs="Tahoma"/>
          <w:kern w:val="0"/>
          <w:lang w:eastAsia="es-CO"/>
          <w14:ligatures w14:val="none"/>
        </w:rPr>
      </w:pPr>
    </w:p>
    <w:p w14:paraId="572C31FE"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Con la consulta a los grupos de interés se identificaron los aspectos más y menos importantes para ellos; los atributos más y menos reconocidos; los aspectos que generan más confianza; y los comportamientos menos tolerados para cada grupo de interés. </w:t>
      </w:r>
    </w:p>
    <w:p w14:paraId="5586BADC" w14:textId="77777777" w:rsidR="000B5DC4" w:rsidRPr="000B5DC4" w:rsidRDefault="000B5DC4" w:rsidP="000B5DC4">
      <w:pPr>
        <w:spacing w:after="0" w:line="240" w:lineRule="auto"/>
        <w:rPr>
          <w:rFonts w:ascii="Tahoma" w:eastAsia="Arial" w:hAnsi="Tahoma" w:cs="Tahoma"/>
          <w:kern w:val="0"/>
          <w:lang w:eastAsia="es-CO"/>
          <w14:ligatures w14:val="none"/>
        </w:rPr>
      </w:pPr>
    </w:p>
    <w:p w14:paraId="2CBB5EBE"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El análisis incluyó la comparación de los resultados respecto al ejercicio anterior del 2022. Se contrastaron los resultados obtenidos en las consultas con el desempeño real de la empresa y su comunicación.</w:t>
      </w:r>
    </w:p>
    <w:p w14:paraId="2B2E6A2E" w14:textId="77777777" w:rsidR="000B5DC4" w:rsidRPr="000B5DC4" w:rsidRDefault="000B5DC4" w:rsidP="000B5DC4">
      <w:pPr>
        <w:spacing w:after="0" w:line="240" w:lineRule="auto"/>
        <w:rPr>
          <w:rFonts w:ascii="Tahoma" w:eastAsia="Arial" w:hAnsi="Tahoma" w:cs="Tahoma"/>
          <w:kern w:val="0"/>
          <w:lang w:eastAsia="es-CO"/>
          <w14:ligatures w14:val="none"/>
        </w:rPr>
      </w:pPr>
    </w:p>
    <w:p w14:paraId="2EAC214E" w14:textId="77777777" w:rsidR="000B5DC4" w:rsidRPr="000B5DC4" w:rsidRDefault="000B5DC4" w:rsidP="000B5DC4">
      <w:pPr>
        <w:spacing w:after="0" w:line="240"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Este ejercicio dio como resultado la actualización de la matriz de materialidad para TRANSELCA en 2024 mediante la cual se priorizaron y redefinieron algunos atributos de las 9 dimensiones del modelo de ISA y sus empresas, de los cuales 9 atributos son de relevancia crítica, 9 de relevancia alta y 8 de relevancia media. </w:t>
      </w:r>
    </w:p>
    <w:p w14:paraId="1C8688D3" w14:textId="77777777" w:rsidR="000B5DC4" w:rsidRPr="000B5DC4" w:rsidRDefault="000B5DC4" w:rsidP="000B5DC4">
      <w:pPr>
        <w:spacing w:after="0" w:line="240" w:lineRule="auto"/>
        <w:rPr>
          <w:rFonts w:ascii="Tahoma" w:eastAsia="Arial" w:hAnsi="Tahoma" w:cs="Tahoma"/>
          <w:kern w:val="0"/>
          <w:lang w:eastAsia="es-CO"/>
          <w14:ligatures w14:val="none"/>
        </w:rPr>
      </w:pPr>
    </w:p>
    <w:p w14:paraId="703BD82C" w14:textId="49B0159C" w:rsidR="000B5DC4" w:rsidRPr="00B83A53" w:rsidRDefault="00B83A53" w:rsidP="000B5DC4">
      <w:pPr>
        <w:spacing w:after="0" w:line="240" w:lineRule="auto"/>
        <w:rPr>
          <w:rFonts w:ascii="Tahoma" w:eastAsia="Arial" w:hAnsi="Tahoma" w:cs="Tahoma"/>
          <w:b/>
          <w:color w:val="0070C0"/>
          <w:kern w:val="0"/>
          <w:sz w:val="36"/>
          <w:szCs w:val="36"/>
          <w:lang w:eastAsia="es-CO"/>
          <w14:ligatures w14:val="none"/>
        </w:rPr>
      </w:pPr>
      <w:r w:rsidRPr="00B83A53">
        <w:rPr>
          <w:rFonts w:ascii="Tahoma" w:eastAsia="Arial" w:hAnsi="Tahoma" w:cs="Tahoma"/>
          <w:b/>
          <w:color w:val="0070C0"/>
          <w:kern w:val="0"/>
          <w:sz w:val="36"/>
          <w:szCs w:val="36"/>
          <w:lang w:eastAsia="es-CO"/>
          <w14:ligatures w14:val="none"/>
        </w:rPr>
        <w:t xml:space="preserve">Matriz de materialidad </w:t>
      </w:r>
    </w:p>
    <w:p w14:paraId="42E101CD" w14:textId="77777777" w:rsidR="000B5DC4" w:rsidRPr="000B5DC4" w:rsidRDefault="000B5DC4" w:rsidP="000B5DC4">
      <w:pPr>
        <w:spacing w:after="0" w:line="240" w:lineRule="auto"/>
        <w:rPr>
          <w:rFonts w:ascii="Tahoma" w:eastAsia="Arial" w:hAnsi="Tahoma" w:cs="Tahoma"/>
          <w:kern w:val="0"/>
          <w:lang w:eastAsia="es-CO"/>
          <w14:ligatures w14:val="none"/>
        </w:rPr>
      </w:pPr>
    </w:p>
    <w:p w14:paraId="5081276D" w14:textId="44D93DEB" w:rsidR="000B5DC4" w:rsidRPr="000B5DC4" w:rsidRDefault="000B5DC4" w:rsidP="00B83A53">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La ubicación de cada asunto en la matriz, según su valoración en cada eje, permite identificar los temas de mayor importancia, tanto para la empresa como para los grupos de interés. El análisis de materialidad determinó 9 asuntos relevantes denominados en la matriz como Relevancia Crítica.</w:t>
      </w:r>
    </w:p>
    <w:p w14:paraId="05D24F80" w14:textId="77777777" w:rsidR="000B5DC4" w:rsidRPr="000B5DC4" w:rsidRDefault="000B5DC4" w:rsidP="000B5DC4">
      <w:pPr>
        <w:spacing w:after="0" w:line="240" w:lineRule="auto"/>
        <w:rPr>
          <w:rFonts w:ascii="Tahoma" w:eastAsia="Arial" w:hAnsi="Tahoma" w:cs="Tahoma"/>
          <w:kern w:val="0"/>
          <w:lang w:eastAsia="es-CO"/>
          <w14:ligatures w14:val="none"/>
        </w:rPr>
      </w:pPr>
      <w:r w:rsidRPr="000B5DC4">
        <w:rPr>
          <w:rFonts w:ascii="Tahoma" w:eastAsia="Arial" w:hAnsi="Tahoma" w:cs="Tahoma"/>
          <w:noProof/>
          <w:kern w:val="0"/>
          <w:lang w:eastAsia="es-CO"/>
          <w14:ligatures w14:val="none"/>
        </w:rPr>
        <w:drawing>
          <wp:inline distT="0" distB="0" distL="0" distR="0" wp14:anchorId="6E48A55C" wp14:editId="3FE0C427">
            <wp:extent cx="5612130" cy="2800350"/>
            <wp:effectExtent l="0" t="0" r="7620" b="0"/>
            <wp:docPr id="19816092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9"/>
                    <a:srcRect t="11800"/>
                    <a:stretch/>
                  </pic:blipFill>
                  <pic:spPr bwMode="auto">
                    <a:xfrm>
                      <a:off x="0" y="0"/>
                      <a:ext cx="5612130" cy="2800350"/>
                    </a:xfrm>
                    <a:prstGeom prst="rect">
                      <a:avLst/>
                    </a:prstGeom>
                    <a:ln>
                      <a:noFill/>
                    </a:ln>
                    <a:extLst>
                      <a:ext uri="{53640926-AAD7-44D8-BBD7-CCE9431645EC}">
                        <a14:shadowObscured xmlns:a14="http://schemas.microsoft.com/office/drawing/2010/main"/>
                      </a:ext>
                    </a:extLst>
                  </pic:spPr>
                </pic:pic>
              </a:graphicData>
            </a:graphic>
          </wp:inline>
        </w:drawing>
      </w:r>
    </w:p>
    <w:p w14:paraId="70409F3D" w14:textId="77777777" w:rsidR="000B5DC4" w:rsidRPr="000B5DC4" w:rsidRDefault="000B5DC4" w:rsidP="000B5DC4">
      <w:pPr>
        <w:spacing w:after="0" w:line="240" w:lineRule="auto"/>
        <w:rPr>
          <w:rFonts w:ascii="Tahoma" w:eastAsia="Arial" w:hAnsi="Tahoma" w:cs="Tahoma"/>
          <w:kern w:val="0"/>
          <w:lang w:eastAsia="es-CO"/>
          <w14:ligatures w14:val="none"/>
        </w:rPr>
      </w:pPr>
    </w:p>
    <w:p w14:paraId="7A29DAC5" w14:textId="77777777" w:rsidR="000B5DC4" w:rsidRPr="000B5DC4" w:rsidRDefault="000B5DC4" w:rsidP="000B5DC4">
      <w:pPr>
        <w:spacing w:after="0" w:line="240" w:lineRule="auto"/>
        <w:rPr>
          <w:rFonts w:ascii="Tahoma" w:eastAsia="Arial" w:hAnsi="Tahoma" w:cs="Tahoma"/>
          <w:kern w:val="0"/>
          <w:lang w:eastAsia="es-CO"/>
          <w14:ligatures w14:val="none"/>
        </w:rPr>
      </w:pPr>
    </w:p>
    <w:p w14:paraId="32BAC243" w14:textId="77777777" w:rsidR="000B5DC4" w:rsidRPr="000B5DC4" w:rsidRDefault="000B5DC4" w:rsidP="000B5DC4">
      <w:pPr>
        <w:spacing w:after="0" w:line="240" w:lineRule="auto"/>
        <w:rPr>
          <w:rFonts w:ascii="Tahoma" w:eastAsia="Arial" w:hAnsi="Tahoma" w:cs="Tahoma"/>
          <w:b/>
          <w:kern w:val="0"/>
          <w:sz w:val="32"/>
          <w:szCs w:val="32"/>
          <w:lang w:eastAsia="es-CO"/>
          <w14:ligatures w14:val="none"/>
        </w:rPr>
      </w:pPr>
    </w:p>
    <w:p w14:paraId="41BB4035" w14:textId="1417DF5C" w:rsidR="000B5DC4" w:rsidRPr="00B83A53" w:rsidRDefault="00B83A53" w:rsidP="000B5DC4">
      <w:pPr>
        <w:spacing w:after="0" w:line="240" w:lineRule="auto"/>
        <w:rPr>
          <w:rFonts w:ascii="Tahoma" w:eastAsia="Arial" w:hAnsi="Tahoma" w:cs="Tahoma"/>
          <w:b/>
          <w:color w:val="0070C0"/>
          <w:kern w:val="0"/>
          <w:sz w:val="36"/>
          <w:szCs w:val="36"/>
          <w:lang w:eastAsia="es-CO"/>
          <w14:ligatures w14:val="none"/>
        </w:rPr>
      </w:pPr>
      <w:r w:rsidRPr="00B83A53">
        <w:rPr>
          <w:rFonts w:ascii="Tahoma" w:eastAsia="Arial" w:hAnsi="Tahoma" w:cs="Tahoma"/>
          <w:b/>
          <w:color w:val="0070C0"/>
          <w:kern w:val="0"/>
          <w:sz w:val="36"/>
          <w:szCs w:val="36"/>
          <w:lang w:eastAsia="es-CO"/>
          <w14:ligatures w14:val="none"/>
        </w:rPr>
        <w:lastRenderedPageBreak/>
        <w:t>Alcance de los asuntos materiales</w:t>
      </w:r>
    </w:p>
    <w:p w14:paraId="479B101D" w14:textId="77777777" w:rsidR="000B5DC4" w:rsidRPr="000B5DC4" w:rsidRDefault="000B5DC4" w:rsidP="000B5DC4">
      <w:pPr>
        <w:spacing w:after="0" w:line="240" w:lineRule="auto"/>
        <w:rPr>
          <w:rFonts w:ascii="Tahoma" w:eastAsia="Arial" w:hAnsi="Tahoma" w:cs="Tahoma"/>
          <w:kern w:val="0"/>
          <w:lang w:eastAsia="es-CO"/>
          <w14:ligatures w14:val="none"/>
        </w:rPr>
      </w:pPr>
    </w:p>
    <w:p w14:paraId="22C600BA" w14:textId="77777777" w:rsidR="000B5DC4" w:rsidRPr="000B5DC4" w:rsidRDefault="000B5DC4" w:rsidP="000B5DC4">
      <w:pPr>
        <w:spacing w:after="0" w:line="240" w:lineRule="auto"/>
        <w:rPr>
          <w:rFonts w:ascii="Tahoma" w:eastAsia="Arial" w:hAnsi="Tahoma" w:cs="Tahoma"/>
          <w:kern w:val="0"/>
          <w:lang w:eastAsia="es-CO"/>
          <w14:ligatures w14:val="none"/>
        </w:rPr>
      </w:pPr>
      <w:r w:rsidRPr="000B5DC4">
        <w:rPr>
          <w:rFonts w:ascii="Tahoma" w:eastAsia="Arial" w:hAnsi="Tahoma" w:cs="Tahoma"/>
          <w:noProof/>
          <w:kern w:val="0"/>
          <w:lang w:eastAsia="es-CO"/>
          <w14:ligatures w14:val="none"/>
        </w:rPr>
        <w:drawing>
          <wp:inline distT="0" distB="0" distL="0" distR="0" wp14:anchorId="41F2197A" wp14:editId="7FC824B9">
            <wp:extent cx="3440886" cy="6452157"/>
            <wp:effectExtent l="0" t="0" r="0" b="0"/>
            <wp:docPr id="198160928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0"/>
                    <a:srcRect/>
                    <a:stretch>
                      <a:fillRect/>
                    </a:stretch>
                  </pic:blipFill>
                  <pic:spPr>
                    <a:xfrm>
                      <a:off x="0" y="0"/>
                      <a:ext cx="3440886" cy="6452157"/>
                    </a:xfrm>
                    <a:prstGeom prst="rect">
                      <a:avLst/>
                    </a:prstGeom>
                    <a:ln/>
                  </pic:spPr>
                </pic:pic>
              </a:graphicData>
            </a:graphic>
          </wp:inline>
        </w:drawing>
      </w:r>
    </w:p>
    <w:p w14:paraId="2116B165" w14:textId="77777777" w:rsidR="000B5DC4" w:rsidRPr="000B5DC4" w:rsidRDefault="000B5DC4" w:rsidP="000B5DC4">
      <w:pPr>
        <w:spacing w:after="0" w:line="240" w:lineRule="auto"/>
        <w:rPr>
          <w:rFonts w:ascii="Tahoma" w:eastAsia="Arial" w:hAnsi="Tahoma" w:cs="Tahoma"/>
          <w:kern w:val="0"/>
          <w:lang w:eastAsia="es-CO"/>
          <w14:ligatures w14:val="none"/>
        </w:rPr>
      </w:pPr>
    </w:p>
    <w:p w14:paraId="7EA030A7" w14:textId="77777777" w:rsidR="000B5DC4" w:rsidRPr="000B5DC4" w:rsidRDefault="000B5DC4" w:rsidP="000B5DC4">
      <w:pPr>
        <w:spacing w:after="0" w:line="240" w:lineRule="auto"/>
        <w:rPr>
          <w:rFonts w:ascii="Tahoma" w:eastAsia="Arial" w:hAnsi="Tahoma" w:cs="Tahoma"/>
          <w:kern w:val="0"/>
          <w:lang w:eastAsia="es-CO"/>
          <w14:ligatures w14:val="none"/>
        </w:rPr>
      </w:pPr>
    </w:p>
    <w:p w14:paraId="62776303" w14:textId="285B3A74" w:rsidR="000B5DC4" w:rsidRPr="00B83A53" w:rsidRDefault="00B83A53" w:rsidP="000B5DC4">
      <w:pPr>
        <w:spacing w:line="259" w:lineRule="auto"/>
        <w:rPr>
          <w:rFonts w:ascii="Tahoma" w:eastAsia="Arial" w:hAnsi="Tahoma" w:cs="Tahoma"/>
          <w:b/>
          <w:color w:val="0070C0"/>
          <w:kern w:val="0"/>
          <w:sz w:val="36"/>
          <w:szCs w:val="36"/>
          <w:lang w:eastAsia="es-CO"/>
          <w14:ligatures w14:val="none"/>
        </w:rPr>
      </w:pPr>
      <w:bookmarkStart w:id="8" w:name="_heading=h.gjdgxs" w:colFirst="0" w:colLast="0"/>
      <w:bookmarkEnd w:id="8"/>
      <w:r w:rsidRPr="00B83A53">
        <w:rPr>
          <w:rFonts w:ascii="Tahoma" w:eastAsia="Arial" w:hAnsi="Tahoma" w:cs="Tahoma"/>
          <w:b/>
          <w:color w:val="0070C0"/>
          <w:kern w:val="0"/>
          <w:sz w:val="36"/>
          <w:szCs w:val="36"/>
          <w:lang w:eastAsia="es-CO"/>
          <w14:ligatures w14:val="none"/>
        </w:rPr>
        <w:t>Análisis de doble materialidad</w:t>
      </w:r>
    </w:p>
    <w:p w14:paraId="191E5CF5" w14:textId="77777777" w:rsidR="000B5DC4" w:rsidRPr="000B5DC4" w:rsidRDefault="000B5DC4" w:rsidP="000B5DC4">
      <w:pPr>
        <w:spacing w:line="259" w:lineRule="auto"/>
        <w:rPr>
          <w:rFonts w:ascii="Tahoma" w:eastAsia="Calibri" w:hAnsi="Tahoma" w:cs="Tahoma"/>
          <w:kern w:val="0"/>
          <w:sz w:val="22"/>
          <w:szCs w:val="22"/>
          <w:lang w:eastAsia="es-CO"/>
          <w14:ligatures w14:val="none"/>
        </w:rPr>
      </w:pPr>
    </w:p>
    <w:p w14:paraId="3CE0E7F0"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lastRenderedPageBreak/>
        <w:t xml:space="preserve">Adoptar el concepto de doble materialidad significa que las empresas deben considerar los riesgos y las oportunidades desde una perspectiva tanto financiera como de impacto. </w:t>
      </w:r>
    </w:p>
    <w:p w14:paraId="1B2EC03A"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La materialidad de impacto es aquella que se presentaba antes en este informe y comúnmente evaluada por las empresas. La materialidad financiera complementa la medición de materialidad de las empresas y se refiere a identificar aquellos «asuntos ambientales, sociales y/o de gobernanza que pueden generar un efecto significativo en el desempeño financiero de una organización y su capacidad de generar valor» (GRI).</w:t>
      </w:r>
    </w:p>
    <w:p w14:paraId="6B9122F8"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En la vigencia se realizó un ejercicio interno de doble materialidad que integró:</w:t>
      </w:r>
    </w:p>
    <w:p w14:paraId="39F7833F"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1) Impactos ambientales y sociales generados al medioambiente o a la sociedad;</w:t>
      </w:r>
    </w:p>
    <w:p w14:paraId="6772EB2A"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2) Riesgos y oportunidades del entorno que pueden afectar la capacidad de crear valor a largo plazo en la organización;</w:t>
      </w:r>
    </w:p>
    <w:p w14:paraId="3EB49DF3"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3) Desempeño económico y de gobernanza.</w:t>
      </w:r>
    </w:p>
    <w:p w14:paraId="321C3823" w14:textId="77777777" w:rsidR="000B5DC4" w:rsidRPr="000B5DC4" w:rsidRDefault="000B5DC4" w:rsidP="000B5DC4">
      <w:pP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Para priorizar los asuntos de mayor importancia derivados del análisis de la doble materialidad se utilizaron los siguientes criterios que indican qué se considera impacto material para TRANSELCA:</w:t>
      </w:r>
    </w:p>
    <w:p w14:paraId="7FA26DC7" w14:textId="77777777" w:rsidR="000B5DC4" w:rsidRPr="000B5DC4" w:rsidRDefault="000B5DC4" w:rsidP="000B5DC4">
      <w:pPr>
        <w:spacing w:line="259" w:lineRule="auto"/>
        <w:rPr>
          <w:rFonts w:ascii="Tahoma" w:eastAsia="Arial" w:hAnsi="Tahoma" w:cs="Tahoma"/>
          <w:kern w:val="0"/>
          <w:lang w:eastAsia="es-CO"/>
          <w14:ligatures w14:val="none"/>
        </w:rPr>
      </w:pPr>
    </w:p>
    <w:tbl>
      <w:tblPr>
        <w:tblW w:w="8818" w:type="dxa"/>
        <w:tblLayout w:type="fixed"/>
        <w:tblLook w:val="0400" w:firstRow="0" w:lastRow="0" w:firstColumn="0" w:lastColumn="0" w:noHBand="0" w:noVBand="1"/>
      </w:tblPr>
      <w:tblGrid>
        <w:gridCol w:w="2542"/>
        <w:gridCol w:w="2268"/>
        <w:gridCol w:w="1803"/>
        <w:gridCol w:w="2205"/>
      </w:tblGrid>
      <w:tr w:rsidR="000B5DC4" w:rsidRPr="000B5DC4" w14:paraId="6C6F1521" w14:textId="77777777" w:rsidTr="00955EFE">
        <w:tc>
          <w:tcPr>
            <w:tcW w:w="25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55A6E0C" w14:textId="77777777" w:rsidR="000B5DC4" w:rsidRPr="000B5DC4" w:rsidRDefault="000B5DC4" w:rsidP="000B5DC4">
            <w:pPr>
              <w:spacing w:line="259" w:lineRule="auto"/>
              <w:jc w:val="center"/>
              <w:rPr>
                <w:rFonts w:ascii="Tahoma" w:eastAsia="Arial" w:hAnsi="Tahoma" w:cs="Tahoma"/>
                <w:b/>
                <w:kern w:val="0"/>
                <w:lang w:eastAsia="es-CO"/>
                <w14:ligatures w14:val="none"/>
              </w:rPr>
            </w:pPr>
            <w:r w:rsidRPr="000B5DC4">
              <w:rPr>
                <w:rFonts w:ascii="Tahoma" w:eastAsia="Arial" w:hAnsi="Tahoma" w:cs="Tahoma"/>
                <w:b/>
                <w:kern w:val="0"/>
                <w:lang w:eastAsia="es-CO"/>
                <w14:ligatures w14:val="none"/>
              </w:rPr>
              <w:t>Contable</w:t>
            </w:r>
          </w:p>
        </w:tc>
        <w:tc>
          <w:tcPr>
            <w:tcW w:w="2268"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93C747C" w14:textId="77777777" w:rsidR="000B5DC4" w:rsidRPr="000B5DC4" w:rsidRDefault="000B5DC4" w:rsidP="000B5DC4">
            <w:pPr>
              <w:spacing w:line="259" w:lineRule="auto"/>
              <w:jc w:val="center"/>
              <w:rPr>
                <w:rFonts w:ascii="Tahoma" w:eastAsia="Arial" w:hAnsi="Tahoma" w:cs="Tahoma"/>
                <w:b/>
                <w:kern w:val="0"/>
                <w:lang w:eastAsia="es-CO"/>
                <w14:ligatures w14:val="none"/>
              </w:rPr>
            </w:pPr>
            <w:r w:rsidRPr="000B5DC4">
              <w:rPr>
                <w:rFonts w:ascii="Tahoma" w:eastAsia="Arial" w:hAnsi="Tahoma" w:cs="Tahoma"/>
                <w:b/>
                <w:kern w:val="0"/>
                <w:lang w:eastAsia="es-CO"/>
                <w14:ligatures w14:val="none"/>
              </w:rPr>
              <w:t>Riesgos</w:t>
            </w:r>
          </w:p>
        </w:tc>
        <w:tc>
          <w:tcPr>
            <w:tcW w:w="1803"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2F4DA6BE" w14:textId="77777777" w:rsidR="000B5DC4" w:rsidRPr="000B5DC4" w:rsidRDefault="000B5DC4" w:rsidP="000B5DC4">
            <w:pPr>
              <w:spacing w:line="259" w:lineRule="auto"/>
              <w:jc w:val="center"/>
              <w:rPr>
                <w:rFonts w:ascii="Tahoma" w:eastAsia="Arial" w:hAnsi="Tahoma" w:cs="Tahoma"/>
                <w:b/>
                <w:kern w:val="0"/>
                <w:lang w:eastAsia="es-CO"/>
                <w14:ligatures w14:val="none"/>
              </w:rPr>
            </w:pPr>
            <w:r w:rsidRPr="000B5DC4">
              <w:rPr>
                <w:rFonts w:ascii="Tahoma" w:eastAsia="Arial" w:hAnsi="Tahoma" w:cs="Tahoma"/>
                <w:b/>
                <w:kern w:val="0"/>
                <w:lang w:eastAsia="es-CO"/>
                <w14:ligatures w14:val="none"/>
              </w:rPr>
              <w:t>Crecimiento</w:t>
            </w:r>
          </w:p>
        </w:tc>
        <w:tc>
          <w:tcPr>
            <w:tcW w:w="2205"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1029DDD" w14:textId="77777777" w:rsidR="000B5DC4" w:rsidRPr="000B5DC4" w:rsidRDefault="000B5DC4" w:rsidP="000B5DC4">
            <w:pPr>
              <w:spacing w:line="259" w:lineRule="auto"/>
              <w:jc w:val="center"/>
              <w:rPr>
                <w:rFonts w:ascii="Tahoma" w:eastAsia="Arial" w:hAnsi="Tahoma" w:cs="Tahoma"/>
                <w:b/>
                <w:kern w:val="0"/>
                <w:lang w:eastAsia="es-CO"/>
                <w14:ligatures w14:val="none"/>
              </w:rPr>
            </w:pPr>
            <w:r w:rsidRPr="000B5DC4">
              <w:rPr>
                <w:rFonts w:ascii="Tahoma" w:eastAsia="Arial" w:hAnsi="Tahoma" w:cs="Tahoma"/>
                <w:b/>
                <w:kern w:val="0"/>
                <w:lang w:eastAsia="es-CO"/>
                <w14:ligatures w14:val="none"/>
              </w:rPr>
              <w:t>Sostenibilidad</w:t>
            </w:r>
          </w:p>
        </w:tc>
      </w:tr>
      <w:tr w:rsidR="000B5DC4" w:rsidRPr="000B5DC4" w14:paraId="394C28B5" w14:textId="77777777" w:rsidTr="00955EFE">
        <w:tc>
          <w:tcPr>
            <w:tcW w:w="25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C8A77C3"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 Estado de ganancias o pérdidas &gt; al 2,5% de la utilidad o pérdida neta antes de impuestos.</w:t>
            </w:r>
          </w:p>
          <w:p w14:paraId="67217FE1" w14:textId="77777777" w:rsidR="000B5DC4" w:rsidRPr="000B5DC4" w:rsidRDefault="000B5DC4" w:rsidP="000B5DC4">
            <w:pPr>
              <w:spacing w:line="259" w:lineRule="auto"/>
              <w:rPr>
                <w:rFonts w:ascii="Tahoma" w:eastAsia="Arial" w:hAnsi="Tahoma" w:cs="Tahoma"/>
                <w:kern w:val="0"/>
                <w:lang w:eastAsia="es-CO"/>
                <w14:ligatures w14:val="none"/>
              </w:rPr>
            </w:pPr>
          </w:p>
          <w:p w14:paraId="0B33C750"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 Estado de situación financiera o flujo de efectivo &gt; al 5% de activos, pasivos o patrimonio, flujo de las actividades de </w:t>
            </w:r>
            <w:r w:rsidRPr="000B5DC4">
              <w:rPr>
                <w:rFonts w:ascii="Tahoma" w:eastAsia="Arial" w:hAnsi="Tahoma" w:cs="Tahoma"/>
                <w:kern w:val="0"/>
                <w:lang w:eastAsia="es-CO"/>
                <w14:ligatures w14:val="none"/>
              </w:rPr>
              <w:lastRenderedPageBreak/>
              <w:t>operación, inversión o financiación.</w:t>
            </w:r>
          </w:p>
        </w:tc>
        <w:tc>
          <w:tcPr>
            <w:tcW w:w="2268" w:type="dxa"/>
            <w:tcBorders>
              <w:top w:val="nil"/>
              <w:left w:val="nil"/>
              <w:bottom w:val="single" w:sz="8" w:space="0" w:color="000000"/>
              <w:right w:val="single" w:sz="8" w:space="0" w:color="000000"/>
            </w:tcBorders>
            <w:tcMar>
              <w:top w:w="0" w:type="dxa"/>
              <w:left w:w="108" w:type="dxa"/>
              <w:bottom w:w="0" w:type="dxa"/>
              <w:right w:w="108" w:type="dxa"/>
            </w:tcMar>
          </w:tcPr>
          <w:p w14:paraId="5C72031B"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lastRenderedPageBreak/>
              <w:t xml:space="preserve">- Criterio de priorización de riesgos críticos: </w:t>
            </w:r>
          </w:p>
          <w:p w14:paraId="1CEE01BF"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Muy alto &gt; 13.000 MM </w:t>
            </w:r>
          </w:p>
        </w:tc>
        <w:tc>
          <w:tcPr>
            <w:tcW w:w="1803" w:type="dxa"/>
            <w:tcBorders>
              <w:top w:val="nil"/>
              <w:left w:val="nil"/>
              <w:bottom w:val="single" w:sz="8" w:space="0" w:color="000000"/>
              <w:right w:val="single" w:sz="8" w:space="0" w:color="000000"/>
            </w:tcBorders>
            <w:tcMar>
              <w:top w:w="0" w:type="dxa"/>
              <w:left w:w="108" w:type="dxa"/>
              <w:bottom w:w="0" w:type="dxa"/>
              <w:right w:w="108" w:type="dxa"/>
            </w:tcMar>
          </w:tcPr>
          <w:p w14:paraId="71C5B52E"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1 % de la capitalización bursátil.</w:t>
            </w:r>
          </w:p>
        </w:tc>
        <w:tc>
          <w:tcPr>
            <w:tcW w:w="2205" w:type="dxa"/>
            <w:tcBorders>
              <w:top w:val="nil"/>
              <w:left w:val="nil"/>
              <w:bottom w:val="single" w:sz="8" w:space="0" w:color="000000"/>
              <w:right w:val="single" w:sz="8" w:space="0" w:color="000000"/>
            </w:tcBorders>
            <w:tcMar>
              <w:top w:w="0" w:type="dxa"/>
              <w:left w:w="108" w:type="dxa"/>
              <w:bottom w:w="0" w:type="dxa"/>
              <w:right w:w="108" w:type="dxa"/>
            </w:tcMar>
          </w:tcPr>
          <w:p w14:paraId="48C499C6"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Se reporta información cualitativa y cuantitativa sobre impactos de una organización en la economía, el medioambiente y las personas.</w:t>
            </w:r>
          </w:p>
        </w:tc>
      </w:tr>
    </w:tbl>
    <w:p w14:paraId="39C2712F" w14:textId="77777777" w:rsidR="000B5DC4" w:rsidRPr="000B5DC4" w:rsidRDefault="000B5DC4" w:rsidP="000B5DC4">
      <w:pPr>
        <w:spacing w:line="259" w:lineRule="auto"/>
        <w:rPr>
          <w:rFonts w:ascii="Tahoma" w:eastAsia="Arial" w:hAnsi="Tahoma" w:cs="Tahoma"/>
          <w:kern w:val="0"/>
          <w:lang w:eastAsia="es-CO"/>
          <w14:ligatures w14:val="none"/>
        </w:rPr>
      </w:pPr>
    </w:p>
    <w:p w14:paraId="737CF236"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Adicionalmente, se revisó el mapa de materialidad que el Sustainability Accounting Standards Board (SASB) definió para el sector de servicios públicos de energía eléctrica y generadores de energía, la materialidad de grupos de interés y la identificación de riesgos materiales. La unión de los puntos comunes de cada uno de estos elementos y el mapa material de SASB dan como resultado la doble materialidad:</w:t>
      </w:r>
    </w:p>
    <w:p w14:paraId="1B64EF2A" w14:textId="77777777" w:rsidR="000B5DC4" w:rsidRPr="000B5DC4" w:rsidRDefault="000B5DC4" w:rsidP="000B5DC4">
      <w:pPr>
        <w:spacing w:line="259" w:lineRule="auto"/>
        <w:rPr>
          <w:rFonts w:ascii="Tahoma" w:eastAsia="Arial" w:hAnsi="Tahoma" w:cs="Tahoma"/>
          <w:kern w:val="0"/>
          <w:lang w:eastAsia="es-CO"/>
          <w14:ligatures w14:val="none"/>
        </w:rPr>
      </w:pPr>
    </w:p>
    <w:tbl>
      <w:tblPr>
        <w:tblW w:w="8818" w:type="dxa"/>
        <w:tblLayout w:type="fixed"/>
        <w:tblLook w:val="0400" w:firstRow="0" w:lastRow="0" w:firstColumn="0" w:lastColumn="0" w:noHBand="0" w:noVBand="1"/>
      </w:tblPr>
      <w:tblGrid>
        <w:gridCol w:w="8818"/>
      </w:tblGrid>
      <w:tr w:rsidR="000B5DC4" w:rsidRPr="000B5DC4" w14:paraId="1DAC05FC" w14:textId="77777777" w:rsidTr="00955EFE">
        <w:trPr>
          <w:trHeight w:val="229"/>
        </w:trPr>
        <w:tc>
          <w:tcPr>
            <w:tcW w:w="88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A37E72B" w14:textId="77777777" w:rsidR="000B5DC4" w:rsidRPr="000B5DC4" w:rsidRDefault="000B5DC4" w:rsidP="000B5DC4">
            <w:pPr>
              <w:spacing w:line="259" w:lineRule="auto"/>
              <w:rPr>
                <w:rFonts w:ascii="Tahoma" w:eastAsia="Arial" w:hAnsi="Tahoma" w:cs="Tahoma"/>
                <w:b/>
                <w:kern w:val="0"/>
                <w:lang w:eastAsia="es-CO"/>
                <w14:ligatures w14:val="none"/>
              </w:rPr>
            </w:pPr>
            <w:r w:rsidRPr="000B5DC4">
              <w:rPr>
                <w:rFonts w:ascii="Tahoma" w:eastAsia="Arial" w:hAnsi="Tahoma" w:cs="Tahoma"/>
                <w:b/>
                <w:kern w:val="0"/>
                <w:lang w:eastAsia="es-CO"/>
                <w14:ligatures w14:val="none"/>
              </w:rPr>
              <w:t>Asuntos materiales</w:t>
            </w:r>
          </w:p>
        </w:tc>
      </w:tr>
      <w:tr w:rsidR="000B5DC4" w:rsidRPr="000B5DC4" w14:paraId="0A79C8B8" w14:textId="77777777" w:rsidTr="00955EFE">
        <w:trPr>
          <w:trHeight w:val="615"/>
        </w:trPr>
        <w:tc>
          <w:tcPr>
            <w:tcW w:w="8818"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B6E5236" w14:textId="77777777" w:rsidR="000B5DC4" w:rsidRPr="000B5DC4" w:rsidRDefault="000B5DC4" w:rsidP="00AC1146">
            <w:pPr>
              <w:numPr>
                <w:ilvl w:val="0"/>
                <w:numId w:val="66"/>
              </w:num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Estrategia de mitigación y adaptación a los efectos del cambio climático</w:t>
            </w:r>
          </w:p>
          <w:p w14:paraId="0254CE44" w14:textId="77777777" w:rsidR="000B5DC4" w:rsidRPr="000B5DC4" w:rsidRDefault="000B5DC4" w:rsidP="00AC1146">
            <w:pPr>
              <w:numPr>
                <w:ilvl w:val="0"/>
                <w:numId w:val="66"/>
              </w:num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Gestión de impactos ambientales asociados a las actividades</w:t>
            </w:r>
          </w:p>
        </w:tc>
      </w:tr>
      <w:tr w:rsidR="000B5DC4" w:rsidRPr="000B5DC4" w14:paraId="4D8A06C6" w14:textId="77777777" w:rsidTr="00955EFE">
        <w:trPr>
          <w:trHeight w:val="410"/>
        </w:trPr>
        <w:tc>
          <w:tcPr>
            <w:tcW w:w="8818"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D15EF4B" w14:textId="77777777" w:rsidR="000B5DC4" w:rsidRPr="000B5DC4" w:rsidRDefault="000B5DC4" w:rsidP="00AC1146">
            <w:pPr>
              <w:numPr>
                <w:ilvl w:val="0"/>
                <w:numId w:val="66"/>
              </w:num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Seguridad y salud en el trabajo para empleados directos e indirectos</w:t>
            </w:r>
          </w:p>
        </w:tc>
      </w:tr>
      <w:tr w:rsidR="000B5DC4" w:rsidRPr="000B5DC4" w14:paraId="0AE82116" w14:textId="77777777" w:rsidTr="00955EFE">
        <w:trPr>
          <w:trHeight w:val="273"/>
        </w:trPr>
        <w:tc>
          <w:tcPr>
            <w:tcW w:w="8818"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332B21F" w14:textId="77777777" w:rsidR="000B5DC4" w:rsidRPr="000B5DC4" w:rsidRDefault="000B5DC4" w:rsidP="00AC1146">
            <w:pPr>
              <w:numPr>
                <w:ilvl w:val="0"/>
                <w:numId w:val="66"/>
              </w:num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Cumplimiento de la promesa de valor con rigor y excelencia</w:t>
            </w:r>
          </w:p>
        </w:tc>
      </w:tr>
    </w:tbl>
    <w:p w14:paraId="064A09F5" w14:textId="77777777" w:rsidR="000B5DC4" w:rsidRPr="000B5DC4" w:rsidRDefault="000B5DC4" w:rsidP="000B5DC4">
      <w:pPr>
        <w:spacing w:line="259" w:lineRule="auto"/>
        <w:rPr>
          <w:rFonts w:ascii="Tahoma" w:eastAsia="Arial" w:hAnsi="Tahoma" w:cs="Tahoma"/>
          <w:kern w:val="0"/>
          <w:lang w:eastAsia="es-CO"/>
          <w14:ligatures w14:val="none"/>
        </w:rPr>
      </w:pPr>
    </w:p>
    <w:p w14:paraId="616CC1FC" w14:textId="77777777" w:rsidR="000B5DC4" w:rsidRPr="00B83A53" w:rsidRDefault="000B5DC4" w:rsidP="000B5DC4">
      <w:pPr>
        <w:spacing w:line="259" w:lineRule="auto"/>
        <w:rPr>
          <w:rFonts w:ascii="Tahoma" w:eastAsia="Arial" w:hAnsi="Tahoma" w:cs="Tahoma"/>
          <w:b/>
          <w:color w:val="0070C0"/>
          <w:kern w:val="0"/>
          <w:sz w:val="32"/>
          <w:szCs w:val="32"/>
          <w:lang w:eastAsia="es-CO"/>
          <w14:ligatures w14:val="none"/>
        </w:rPr>
      </w:pPr>
      <w:r w:rsidRPr="00B83A53">
        <w:rPr>
          <w:rFonts w:ascii="Tahoma" w:eastAsia="Arial" w:hAnsi="Tahoma" w:cs="Tahoma"/>
          <w:b/>
          <w:color w:val="0070C0"/>
          <w:kern w:val="0"/>
          <w:sz w:val="32"/>
          <w:szCs w:val="32"/>
          <w:lang w:eastAsia="es-CO"/>
          <w14:ligatures w14:val="none"/>
        </w:rPr>
        <w:t xml:space="preserve">Otros resultados del estudio de Materialidad y Reputación </w:t>
      </w:r>
    </w:p>
    <w:p w14:paraId="245AD36A" w14:textId="77777777" w:rsidR="000B5DC4" w:rsidRPr="000B5DC4" w:rsidRDefault="000B5DC4" w:rsidP="000B5DC4">
      <w:pPr>
        <w:spacing w:line="259" w:lineRule="auto"/>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El índice sintético de reputación crece en 2024 respecto a 2022, en él se destaca y reconoce: </w:t>
      </w:r>
      <w:r w:rsidRPr="000B5DC4">
        <w:rPr>
          <w:rFonts w:ascii="Tahoma" w:eastAsia="Calibri" w:hAnsi="Tahoma" w:cs="Tahoma"/>
          <w:noProof/>
          <w:kern w:val="0"/>
          <w:sz w:val="22"/>
          <w:szCs w:val="22"/>
          <w:lang w:eastAsia="es-CO"/>
          <w14:ligatures w14:val="none"/>
        </w:rPr>
        <w:drawing>
          <wp:anchor distT="0" distB="0" distL="114300" distR="114300" simplePos="0" relativeHeight="251686912" behindDoc="0" locked="0" layoutInCell="1" hidden="0" allowOverlap="1" wp14:anchorId="3C35D162" wp14:editId="77AE5FF6">
            <wp:simplePos x="0" y="0"/>
            <wp:positionH relativeFrom="column">
              <wp:posOffset>2920365</wp:posOffset>
            </wp:positionH>
            <wp:positionV relativeFrom="paragraph">
              <wp:posOffset>15240</wp:posOffset>
            </wp:positionV>
            <wp:extent cx="2381250" cy="873233"/>
            <wp:effectExtent l="0" t="0" r="0" b="0"/>
            <wp:wrapSquare wrapText="bothSides" distT="0" distB="0" distL="114300" distR="114300"/>
            <wp:docPr id="1981609286" name="image1.pn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png" descr="Diagrama&#10;&#10;El contenido generado por IA puede ser incorrecto."/>
                    <pic:cNvPicPr preferRelativeResize="0"/>
                  </pic:nvPicPr>
                  <pic:blipFill>
                    <a:blip r:embed="rId31"/>
                    <a:srcRect/>
                    <a:stretch>
                      <a:fillRect/>
                    </a:stretch>
                  </pic:blipFill>
                  <pic:spPr>
                    <a:xfrm>
                      <a:off x="0" y="0"/>
                      <a:ext cx="2381250" cy="873233"/>
                    </a:xfrm>
                    <a:prstGeom prst="rect">
                      <a:avLst/>
                    </a:prstGeom>
                    <a:ln/>
                  </pic:spPr>
                </pic:pic>
              </a:graphicData>
            </a:graphic>
          </wp:anchor>
        </w:drawing>
      </w:r>
    </w:p>
    <w:p w14:paraId="4B6D4E71" w14:textId="77777777" w:rsidR="000B5DC4" w:rsidRPr="000B5DC4" w:rsidRDefault="000B5DC4" w:rsidP="00AC1146">
      <w:pPr>
        <w:numPr>
          <w:ilvl w:val="0"/>
          <w:numId w:val="67"/>
        </w:numPr>
        <w:pBdr>
          <w:top w:val="nil"/>
          <w:left w:val="nil"/>
          <w:bottom w:val="nil"/>
          <w:right w:val="nil"/>
          <w:between w:val="nil"/>
        </w:pBdr>
        <w:spacing w:after="0"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A TRANSELCA como una empresa robusta e íntegra.</w:t>
      </w:r>
    </w:p>
    <w:p w14:paraId="3B672316" w14:textId="77777777" w:rsidR="000B5DC4" w:rsidRPr="000B5DC4" w:rsidRDefault="000B5DC4" w:rsidP="00AC1146">
      <w:pPr>
        <w:numPr>
          <w:ilvl w:val="0"/>
          <w:numId w:val="67"/>
        </w:numPr>
        <w:pBdr>
          <w:top w:val="nil"/>
          <w:left w:val="nil"/>
          <w:bottom w:val="nil"/>
          <w:right w:val="nil"/>
          <w:between w:val="nil"/>
        </w:pBdr>
        <w:spacing w:after="0"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El cumplimiento de la excelencia operativa de la empresa generando confianza por sus altos estándares técnicos, así como el conocimiento y buen hacer de sus profesionales.</w:t>
      </w:r>
    </w:p>
    <w:p w14:paraId="7EB9DB41" w14:textId="77777777" w:rsidR="000B5DC4" w:rsidRPr="000B5DC4" w:rsidRDefault="000B5DC4" w:rsidP="00AC1146">
      <w:pPr>
        <w:numPr>
          <w:ilvl w:val="0"/>
          <w:numId w:val="67"/>
        </w:numPr>
        <w:pBdr>
          <w:top w:val="nil"/>
          <w:left w:val="nil"/>
          <w:bottom w:val="nil"/>
          <w:right w:val="nil"/>
          <w:between w:val="nil"/>
        </w:pBdr>
        <w:spacing w:after="0"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Las apuestas en la transición energética es el gran punto de mejora.</w:t>
      </w:r>
    </w:p>
    <w:p w14:paraId="3B1D4BC4" w14:textId="77777777" w:rsidR="000B5DC4" w:rsidRPr="000B5DC4" w:rsidRDefault="000B5DC4" w:rsidP="00AC1146">
      <w:pPr>
        <w:numPr>
          <w:ilvl w:val="0"/>
          <w:numId w:val="67"/>
        </w:numPr>
        <w:pBdr>
          <w:top w:val="nil"/>
          <w:left w:val="nil"/>
          <w:bottom w:val="nil"/>
          <w:right w:val="nil"/>
          <w:between w:val="nil"/>
        </w:pBdr>
        <w:spacing w:after="0"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 xml:space="preserve">Los grupos de interés tienen buena percepción sobre el trabajo de la empresa con la comunidad y su aporte a los territorios. </w:t>
      </w:r>
    </w:p>
    <w:p w14:paraId="6DF0817B" w14:textId="77777777" w:rsidR="000B5DC4" w:rsidRPr="000B5DC4" w:rsidRDefault="000B5DC4" w:rsidP="00AC1146">
      <w:pPr>
        <w:numPr>
          <w:ilvl w:val="0"/>
          <w:numId w:val="67"/>
        </w:numPr>
        <w:pBdr>
          <w:top w:val="nil"/>
          <w:left w:val="nil"/>
          <w:bottom w:val="nil"/>
          <w:right w:val="nil"/>
          <w:between w:val="nil"/>
        </w:pBdr>
        <w:spacing w:line="259" w:lineRule="auto"/>
        <w:jc w:val="both"/>
        <w:rPr>
          <w:rFonts w:ascii="Tahoma" w:eastAsia="Arial" w:hAnsi="Tahoma" w:cs="Tahoma"/>
          <w:kern w:val="0"/>
          <w:lang w:eastAsia="es-CO"/>
          <w14:ligatures w14:val="none"/>
        </w:rPr>
      </w:pPr>
      <w:r w:rsidRPr="000B5DC4">
        <w:rPr>
          <w:rFonts w:ascii="Tahoma" w:eastAsia="Arial" w:hAnsi="Tahoma" w:cs="Tahoma"/>
          <w:kern w:val="0"/>
          <w:lang w:eastAsia="es-CO"/>
          <w14:ligatures w14:val="none"/>
        </w:rPr>
        <w:t>Las buenas prácticas en buen gobierno, ética e integridad son un referente y esenciales para continuar con la construcción de confianza.</w:t>
      </w:r>
    </w:p>
    <w:p w14:paraId="5F3E6AE1" w14:textId="37A2699C" w:rsidR="0031711E" w:rsidRDefault="0031711E">
      <w:pPr>
        <w:rPr>
          <w:rFonts w:ascii="Calibri" w:hAnsi="Calibri" w:cs="Calibri"/>
          <w:sz w:val="52"/>
          <w:szCs w:val="52"/>
          <w:lang w:val="es-ES"/>
        </w:rPr>
      </w:pPr>
      <w:r>
        <w:rPr>
          <w:rFonts w:ascii="Calibri" w:hAnsi="Calibri" w:cs="Calibri"/>
          <w:sz w:val="52"/>
          <w:szCs w:val="52"/>
          <w:lang w:val="es-ES"/>
        </w:rPr>
        <w:br w:type="page"/>
      </w:r>
      <w:bookmarkStart w:id="9" w:name="ASUNTOSMATERIALES"/>
      <w:r w:rsidR="00492BD5">
        <w:rPr>
          <w:rFonts w:ascii="Calibri" w:hAnsi="Calibri" w:cs="Calibri"/>
          <w:noProof/>
          <w:sz w:val="52"/>
          <w:szCs w:val="52"/>
          <w:lang w:val="es-ES"/>
        </w:rPr>
        <w:lastRenderedPageBreak/>
        <w:drawing>
          <wp:inline distT="0" distB="0" distL="0" distR="0" wp14:anchorId="6CBA5205" wp14:editId="2F0E5DD8">
            <wp:extent cx="5612130" cy="7262495"/>
            <wp:effectExtent l="0" t="0" r="1270" b="1905"/>
            <wp:docPr id="7052507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50729" name="Imagen 7052507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9"/>
    </w:p>
    <w:p w14:paraId="18214293" w14:textId="2E8220FD" w:rsidR="0031711E" w:rsidRDefault="0031711E" w:rsidP="00415262">
      <w:pPr>
        <w:rPr>
          <w:rFonts w:ascii="Calibri" w:hAnsi="Calibri" w:cs="Calibri"/>
          <w:sz w:val="52"/>
          <w:szCs w:val="52"/>
          <w:lang w:val="es-ES"/>
        </w:rPr>
      </w:pPr>
    </w:p>
    <w:p w14:paraId="58E584E2" w14:textId="368F79F6" w:rsidR="002D4AB0" w:rsidRPr="002D4AB0" w:rsidRDefault="002D4AB0" w:rsidP="00955EFE">
      <w:pPr>
        <w:spacing w:line="240" w:lineRule="auto"/>
        <w:jc w:val="both"/>
        <w:rPr>
          <w:rFonts w:ascii="Tahoma" w:eastAsia="Aptos" w:hAnsi="Tahoma" w:cs="Tahoma"/>
          <w:b/>
          <w:color w:val="1C4587"/>
          <w:kern w:val="0"/>
          <w:sz w:val="40"/>
          <w:szCs w:val="40"/>
          <w:lang w:val="es-ES" w:eastAsia="es-CO"/>
          <w14:ligatures w14:val="none"/>
        </w:rPr>
      </w:pPr>
    </w:p>
    <w:p w14:paraId="51384D32" w14:textId="18FF7BD4" w:rsidR="0031711E" w:rsidRDefault="0031711E">
      <w:pPr>
        <w:rPr>
          <w:rFonts w:ascii="Calibri" w:hAnsi="Calibri" w:cs="Calibri"/>
          <w:sz w:val="52"/>
          <w:szCs w:val="52"/>
          <w:lang w:val="es-ES"/>
        </w:rPr>
      </w:pPr>
    </w:p>
    <w:p w14:paraId="402B9053" w14:textId="19076738" w:rsidR="0031711E" w:rsidRDefault="00ED7152">
      <w:pPr>
        <w:rPr>
          <w:rFonts w:ascii="Calibri" w:hAnsi="Calibri" w:cs="Calibri"/>
          <w:sz w:val="52"/>
          <w:szCs w:val="52"/>
          <w:lang w:val="es-ES"/>
        </w:rPr>
      </w:pPr>
      <w:r w:rsidRPr="000B5DC4">
        <w:rPr>
          <w:rFonts w:ascii="Tahoma" w:eastAsia="Arial" w:hAnsi="Tahoma" w:cs="Tahoma"/>
          <w:noProof/>
          <w:kern w:val="0"/>
          <w:lang w:eastAsia="es-CO"/>
          <w14:ligatures w14:val="none"/>
        </w:rPr>
        <w:drawing>
          <wp:inline distT="0" distB="0" distL="0" distR="0" wp14:anchorId="4C0F9ED8" wp14:editId="2318389B">
            <wp:extent cx="5111750" cy="4678363"/>
            <wp:effectExtent l="0" t="0" r="0" b="8255"/>
            <wp:docPr id="11272776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9"/>
                    <a:srcRect l="51709" t="11800"/>
                    <a:stretch/>
                  </pic:blipFill>
                  <pic:spPr bwMode="auto">
                    <a:xfrm>
                      <a:off x="0" y="0"/>
                      <a:ext cx="5121082" cy="4686904"/>
                    </a:xfrm>
                    <a:prstGeom prst="rect">
                      <a:avLst/>
                    </a:prstGeom>
                    <a:ln>
                      <a:noFill/>
                    </a:ln>
                    <a:extLst>
                      <a:ext uri="{53640926-AAD7-44D8-BBD7-CCE9431645EC}">
                        <a14:shadowObscured xmlns:a14="http://schemas.microsoft.com/office/drawing/2010/main"/>
                      </a:ext>
                    </a:extLst>
                  </pic:spPr>
                </pic:pic>
              </a:graphicData>
            </a:graphic>
          </wp:inline>
        </w:drawing>
      </w:r>
    </w:p>
    <w:p w14:paraId="7BC3DBA6" w14:textId="0E133BCB" w:rsidR="0031711E" w:rsidRDefault="0031711E" w:rsidP="00415262">
      <w:pPr>
        <w:rPr>
          <w:rFonts w:ascii="Calibri" w:hAnsi="Calibri" w:cs="Calibri"/>
          <w:sz w:val="52"/>
          <w:szCs w:val="52"/>
          <w:lang w:val="es-ES"/>
        </w:rPr>
      </w:pPr>
      <w:bookmarkStart w:id="10" w:name="ASUNTOSMATERIALESECONOMICOS"/>
      <w:r>
        <w:rPr>
          <w:rFonts w:ascii="Calibri" w:hAnsi="Calibri" w:cs="Calibri"/>
          <w:noProof/>
          <w:sz w:val="52"/>
          <w:szCs w:val="52"/>
          <w:lang w:val="es-ES"/>
        </w:rPr>
        <w:lastRenderedPageBreak/>
        <w:drawing>
          <wp:inline distT="0" distB="0" distL="0" distR="0" wp14:anchorId="5481BEC3" wp14:editId="0268082D">
            <wp:extent cx="5612130" cy="7262495"/>
            <wp:effectExtent l="0" t="0" r="1270" b="1905"/>
            <wp:docPr id="143132393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23933" name="Imagen 143132393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10"/>
    </w:p>
    <w:p w14:paraId="49A7AD89" w14:textId="77777777" w:rsidR="002153A3" w:rsidRDefault="0031711E" w:rsidP="00955EFE">
      <w:pPr>
        <w:spacing w:line="240" w:lineRule="auto"/>
        <w:jc w:val="both"/>
        <w:rPr>
          <w:rFonts w:ascii="Calibri" w:hAnsi="Calibri" w:cs="Calibri"/>
          <w:sz w:val="52"/>
          <w:szCs w:val="52"/>
          <w:lang w:val="es-ES"/>
        </w:rPr>
      </w:pPr>
      <w:r>
        <w:rPr>
          <w:rFonts w:ascii="Calibri" w:hAnsi="Calibri" w:cs="Calibri"/>
          <w:sz w:val="52"/>
          <w:szCs w:val="52"/>
          <w:lang w:val="es-ES"/>
        </w:rPr>
        <w:br w:type="page"/>
      </w:r>
    </w:p>
    <w:p w14:paraId="236AE1A2" w14:textId="77777777" w:rsidR="002F7BFE" w:rsidRPr="00B83A53" w:rsidRDefault="002F7BFE" w:rsidP="002F7BFE">
      <w:pPr>
        <w:spacing w:line="240" w:lineRule="auto"/>
        <w:jc w:val="both"/>
        <w:rPr>
          <w:rFonts w:ascii="Tahoma" w:eastAsia="Times New Roman" w:hAnsi="Tahoma" w:cs="Tahoma"/>
          <w:color w:val="0070C0"/>
          <w:kern w:val="0"/>
          <w:sz w:val="36"/>
          <w:szCs w:val="36"/>
          <w:lang w:val="es-ES" w:eastAsia="es-CO"/>
          <w14:ligatures w14:val="none"/>
        </w:rPr>
      </w:pPr>
      <w:r w:rsidRPr="00B83A53">
        <w:rPr>
          <w:rFonts w:ascii="Tahoma" w:eastAsia="Aptos" w:hAnsi="Tahoma" w:cs="Tahoma"/>
          <w:b/>
          <w:color w:val="0070C0"/>
          <w:kern w:val="0"/>
          <w:sz w:val="36"/>
          <w:szCs w:val="36"/>
          <w:lang w:val="es-ES" w:eastAsia="es-CO"/>
          <w14:ligatures w14:val="none"/>
        </w:rPr>
        <w:lastRenderedPageBreak/>
        <w:t>ESTRUCTURA Y COMPOSICIÓN DE GOBIERNO DIVERSO QUE RESPONDE A LOS RETOS DE LA ESTRATEGIA</w:t>
      </w:r>
    </w:p>
    <w:p w14:paraId="565EBAC6" w14:textId="77777777" w:rsidR="002F7BFE" w:rsidRPr="002D4AB0" w:rsidRDefault="002F7BFE" w:rsidP="002F7BFE">
      <w:pPr>
        <w:spacing w:before="240" w:after="0"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sz w:val="28"/>
          <w:szCs w:val="28"/>
          <w:lang w:val="es-ES" w:eastAsia="es-CO"/>
          <w14:ligatures w14:val="none"/>
        </w:rPr>
        <w:t>Dimensión: Buen gobierno e integridad</w:t>
      </w:r>
    </w:p>
    <w:p w14:paraId="0B301D3E"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rial" w:hAnsi="Tahoma" w:cs="Tahoma"/>
          <w:b/>
          <w:kern w:val="0"/>
          <w:sz w:val="28"/>
          <w:szCs w:val="28"/>
          <w:lang w:val="es-ES" w:eastAsia="es-CO"/>
          <w14:ligatures w14:val="none"/>
        </w:rPr>
        <w:t>ODS: 11 y 16</w:t>
      </w:r>
    </w:p>
    <w:p w14:paraId="4FDE88CC"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rial" w:hAnsi="Tahoma" w:cs="Tahoma"/>
          <w:b/>
          <w:kern w:val="0"/>
          <w:sz w:val="28"/>
          <w:szCs w:val="28"/>
          <w:lang w:val="es-ES" w:eastAsia="es-CO"/>
          <w14:ligatures w14:val="none"/>
        </w:rPr>
        <w:t>Grupos de interés:  </w:t>
      </w:r>
      <w:r w:rsidRPr="002D4AB0">
        <w:rPr>
          <w:rFonts w:ascii="Tahoma" w:eastAsia="Arial" w:hAnsi="Tahoma" w:cs="Tahoma"/>
          <w:kern w:val="0"/>
          <w:sz w:val="28"/>
          <w:szCs w:val="28"/>
          <w:lang w:val="es-ES" w:eastAsia="es-CO"/>
          <w14:ligatures w14:val="none"/>
        </w:rPr>
        <w:t>Accionistas e Inversionistas, Trabajadores y Estados</w:t>
      </w:r>
    </w:p>
    <w:p w14:paraId="2732D992" w14:textId="77777777" w:rsidR="002F7BFE" w:rsidRPr="009E2A42" w:rsidRDefault="002F7BFE" w:rsidP="002F7BFE">
      <w:pPr>
        <w:spacing w:before="240" w:after="240" w:line="240" w:lineRule="auto"/>
        <w:jc w:val="both"/>
        <w:rPr>
          <w:rFonts w:ascii="Tahoma" w:eastAsia="Times New Roman" w:hAnsi="Tahoma" w:cs="Tahoma"/>
          <w:color w:val="0070C0"/>
          <w:kern w:val="0"/>
          <w:sz w:val="32"/>
          <w:szCs w:val="32"/>
          <w:lang w:val="es-ES" w:eastAsia="es-CO"/>
          <w14:ligatures w14:val="none"/>
        </w:rPr>
      </w:pPr>
      <w:r w:rsidRPr="009E2A42">
        <w:rPr>
          <w:rFonts w:ascii="Tahoma" w:eastAsia="Arial" w:hAnsi="Tahoma" w:cs="Tahoma"/>
          <w:b/>
          <w:color w:val="0070C0"/>
          <w:kern w:val="0"/>
          <w:sz w:val="32"/>
          <w:szCs w:val="32"/>
          <w:lang w:val="es-ES" w:eastAsia="es-CO"/>
          <w14:ligatures w14:val="none"/>
        </w:rPr>
        <w:t>Gestión del asunto material</w:t>
      </w:r>
    </w:p>
    <w:p w14:paraId="64D1793F" w14:textId="77777777" w:rsidR="002F7BFE" w:rsidRPr="002D4AB0" w:rsidRDefault="002F7BFE" w:rsidP="002F7BFE">
      <w:p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Para TRANSELCA su equipo humano es su capital más importante y por eso dedica atención a fortalecer las capacidades de su estructura de gobierno con el fin de contar con personas idóneas y diversas que puedan aportar en excelencia al cumplimiento de los objetivos estratégicos de la compañía.</w:t>
      </w:r>
    </w:p>
    <w:p w14:paraId="53256377"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Su gobierno corporativo define los lineamientos para integrar, a través de la estrategia ISA 2030, el objetivo de generar valor sostenible en las tres dimensiones de la sostenibilidad. Esto implica un compromiso con la innovación, la transformación digital y la creación de alianzas estratégicas para alcanzar objetivos comunes que permitan alinearse con los Objetivos de Desarrollo Sostenible (ODS).</w:t>
      </w:r>
    </w:p>
    <w:p w14:paraId="5C65B68D" w14:textId="77777777" w:rsidR="002F7BFE" w:rsidRPr="009E2A42" w:rsidRDefault="002F7BFE" w:rsidP="002F7BFE">
      <w:pPr>
        <w:spacing w:line="240" w:lineRule="auto"/>
        <w:jc w:val="both"/>
        <w:rPr>
          <w:rFonts w:ascii="Tahoma" w:eastAsia="Times New Roman" w:hAnsi="Tahoma" w:cs="Tahoma"/>
          <w:color w:val="0070C0"/>
          <w:kern w:val="0"/>
          <w:lang w:val="es-ES" w:eastAsia="es-CO"/>
          <w14:ligatures w14:val="none"/>
        </w:rPr>
      </w:pPr>
      <w:r w:rsidRPr="009E2A42">
        <w:rPr>
          <w:rFonts w:ascii="Tahoma" w:eastAsia="Arial" w:hAnsi="Tahoma" w:cs="Tahoma"/>
          <w:b/>
          <w:color w:val="0070C0"/>
          <w:kern w:val="0"/>
          <w:sz w:val="36"/>
          <w:szCs w:val="36"/>
          <w:lang w:val="es-ES" w:eastAsia="es-CO"/>
          <w14:ligatures w14:val="none"/>
        </w:rPr>
        <w:t>Impactos positivos</w:t>
      </w:r>
    </w:p>
    <w:p w14:paraId="451935C2"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sz w:val="32"/>
          <w:szCs w:val="32"/>
          <w:lang w:val="es-ES" w:eastAsia="es-CO"/>
          <w14:ligatures w14:val="none"/>
        </w:rPr>
        <w:t>Transparencia y gobernanza corporativa </w:t>
      </w:r>
    </w:p>
    <w:p w14:paraId="73303AF3"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Contar con un sistema de gobernanza transparente le permite a la compañía actuar en coherencia con sus valores corporativos, crear valor compartido con sus grupos de interés y proteger su reputación.</w:t>
      </w:r>
    </w:p>
    <w:p w14:paraId="1C527690"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Evolución</w:t>
      </w:r>
    </w:p>
    <w:p w14:paraId="229B3693"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A lo largo del último año, TRANSELCA logró avances significativos en cuanto a la transparencia y las prácticas de gobernanza. Se implementaron políticas de divulgación de información más estrictas y auditorías internas más rigurosas. </w:t>
      </w:r>
    </w:p>
    <w:p w14:paraId="37896B16"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 xml:space="preserve">Nota: </w:t>
      </w:r>
      <w:r w:rsidRPr="002D4AB0">
        <w:rPr>
          <w:rFonts w:ascii="Tahoma" w:eastAsia="Aptos" w:hAnsi="Tahoma" w:cs="Tahoma"/>
          <w:kern w:val="0"/>
          <w:lang w:val="es-ES" w:eastAsia="es-CO"/>
          <w14:ligatures w14:val="none"/>
        </w:rPr>
        <w:t>En 2024 no se registraron denuncias sobre conflictos de interés dentro de la Junta Directiva ni casos relacionados con este tema.</w:t>
      </w:r>
    </w:p>
    <w:p w14:paraId="2DDE01FC"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Hitos</w:t>
      </w:r>
    </w:p>
    <w:p w14:paraId="38FEF5F7" w14:textId="77777777" w:rsidR="002F7BFE" w:rsidRPr="002D4AB0" w:rsidRDefault="002F7BFE" w:rsidP="002F7BFE">
      <w:pPr>
        <w:numPr>
          <w:ilvl w:val="0"/>
          <w:numId w:val="109"/>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Creación de un comité de auditoría y rie</w:t>
      </w:r>
      <w:r>
        <w:rPr>
          <w:rFonts w:ascii="Tahoma" w:eastAsia="Aptos" w:hAnsi="Tahoma" w:cs="Tahoma"/>
          <w:kern w:val="0"/>
          <w:lang w:val="es-ES" w:eastAsia="es-CO"/>
          <w14:ligatures w14:val="none"/>
        </w:rPr>
        <w:t>s</w:t>
      </w:r>
      <w:r w:rsidRPr="002D4AB0">
        <w:rPr>
          <w:rFonts w:ascii="Tahoma" w:eastAsia="Aptos" w:hAnsi="Tahoma" w:cs="Tahoma"/>
          <w:kern w:val="0"/>
          <w:lang w:val="es-ES" w:eastAsia="es-CO"/>
          <w14:ligatures w14:val="none"/>
        </w:rPr>
        <w:t>gos.</w:t>
      </w:r>
    </w:p>
    <w:p w14:paraId="282EE145" w14:textId="77777777" w:rsidR="002F7BFE" w:rsidRPr="002D4AB0" w:rsidRDefault="002F7BFE" w:rsidP="002F7BFE">
      <w:pPr>
        <w:numPr>
          <w:ilvl w:val="0"/>
          <w:numId w:val="109"/>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lastRenderedPageBreak/>
        <w:t>Implementación de nuevas normativas y estándares internacionales de transparencia.</w:t>
      </w:r>
    </w:p>
    <w:p w14:paraId="2984D40F" w14:textId="77777777" w:rsidR="002F7BFE" w:rsidRPr="002D4AB0" w:rsidRDefault="002F7BFE" w:rsidP="002F7BFE">
      <w:pPr>
        <w:spacing w:after="0"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sz w:val="32"/>
          <w:szCs w:val="32"/>
          <w:lang w:val="es-ES" w:eastAsia="es-CO"/>
          <w14:ligatures w14:val="none"/>
        </w:rPr>
        <w:t>Autoevaluación del desempeño de la Junta Directiva </w:t>
      </w:r>
    </w:p>
    <w:p w14:paraId="67C7FB92" w14:textId="77777777" w:rsidR="002F7BFE" w:rsidRPr="002D4AB0" w:rsidRDefault="002F7BFE" w:rsidP="002F7BFE">
      <w:pPr>
        <w:spacing w:after="0" w:line="240" w:lineRule="auto"/>
        <w:rPr>
          <w:rFonts w:ascii="Tahoma" w:eastAsia="Times New Roman" w:hAnsi="Tahoma" w:cs="Tahoma"/>
          <w:kern w:val="0"/>
          <w:lang w:val="es-ES" w:eastAsia="es-CO"/>
          <w14:ligatures w14:val="none"/>
        </w:rPr>
      </w:pPr>
    </w:p>
    <w:p w14:paraId="7E0AEBBF" w14:textId="77777777" w:rsidR="002F7BFE" w:rsidRPr="002D4AB0" w:rsidRDefault="002F7BFE" w:rsidP="002F7BFE">
      <w:pPr>
        <w:spacing w:after="0"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Este instrumento de control permite evaluar y mejorar el rendimiento de la Junta Directiva en aspectos sociales, económicos y ambientales.</w:t>
      </w:r>
    </w:p>
    <w:p w14:paraId="04030B2E" w14:textId="77777777" w:rsidR="002F7BFE" w:rsidRPr="002D4AB0" w:rsidRDefault="002F7BFE" w:rsidP="002F7BFE">
      <w:pPr>
        <w:spacing w:after="0" w:line="240" w:lineRule="auto"/>
        <w:rPr>
          <w:rFonts w:ascii="Tahoma" w:eastAsia="Times New Roman" w:hAnsi="Tahoma" w:cs="Tahoma"/>
          <w:kern w:val="0"/>
          <w:lang w:val="es-ES" w:eastAsia="es-CO"/>
          <w14:ligatures w14:val="none"/>
        </w:rPr>
      </w:pPr>
    </w:p>
    <w:p w14:paraId="03D0A2E1"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Evolución</w:t>
      </w:r>
    </w:p>
    <w:p w14:paraId="760549EE"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Para 2024 se ajustó el formulario de autoevaluación ampliándose a cinco áreas clave:</w:t>
      </w:r>
    </w:p>
    <w:p w14:paraId="43F23881" w14:textId="77777777" w:rsidR="002F7BFE" w:rsidRPr="002D4AB0" w:rsidRDefault="002F7BFE" w:rsidP="002F7BFE">
      <w:pPr>
        <w:numPr>
          <w:ilvl w:val="0"/>
          <w:numId w:val="110"/>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Participación individual.</w:t>
      </w:r>
    </w:p>
    <w:p w14:paraId="3E6E8F3F" w14:textId="77777777" w:rsidR="002F7BFE" w:rsidRPr="002D4AB0" w:rsidRDefault="002F7BFE" w:rsidP="002F7BFE">
      <w:pPr>
        <w:numPr>
          <w:ilvl w:val="0"/>
          <w:numId w:val="110"/>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Desempeño general de la Junta Directiva.</w:t>
      </w:r>
    </w:p>
    <w:p w14:paraId="327A2A52" w14:textId="77777777" w:rsidR="002F7BFE" w:rsidRPr="002D4AB0" w:rsidRDefault="002F7BFE" w:rsidP="002F7BFE">
      <w:pPr>
        <w:numPr>
          <w:ilvl w:val="0"/>
          <w:numId w:val="110"/>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Frecuencia de presentación de temas.</w:t>
      </w:r>
    </w:p>
    <w:p w14:paraId="13B65BBE" w14:textId="77777777" w:rsidR="002F7BFE" w:rsidRPr="002D4AB0" w:rsidRDefault="002F7BFE" w:rsidP="002F7BFE">
      <w:pPr>
        <w:numPr>
          <w:ilvl w:val="0"/>
          <w:numId w:val="110"/>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Grado de profundización y pertenencia a los temas tratados.</w:t>
      </w:r>
    </w:p>
    <w:p w14:paraId="55EA343B" w14:textId="77777777" w:rsidR="002F7BFE" w:rsidRPr="002D4AB0" w:rsidRDefault="002F7BFE" w:rsidP="002F7BFE">
      <w:pPr>
        <w:numPr>
          <w:ilvl w:val="0"/>
          <w:numId w:val="110"/>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Desempeño y participación de la administración (equipo directivo de TRANSELCA).</w:t>
      </w:r>
    </w:p>
    <w:p w14:paraId="14E29BB8"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Hitos</w:t>
      </w:r>
    </w:p>
    <w:p w14:paraId="547CA4FB" w14:textId="77777777" w:rsidR="002F7BFE" w:rsidRPr="002D4AB0" w:rsidRDefault="002F7BFE" w:rsidP="002F7BFE">
      <w:pPr>
        <w:numPr>
          <w:ilvl w:val="0"/>
          <w:numId w:val="111"/>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El 100% de los miembros completaron su autoevaluación.</w:t>
      </w:r>
    </w:p>
    <w:p w14:paraId="4CD2016E" w14:textId="77777777" w:rsidR="002F7BFE" w:rsidRPr="002D4AB0" w:rsidRDefault="002F7BFE" w:rsidP="002F7BFE">
      <w:pPr>
        <w:spacing w:before="240" w:after="240" w:line="240" w:lineRule="auto"/>
        <w:jc w:val="both"/>
        <w:rPr>
          <w:rFonts w:ascii="Tahoma" w:eastAsia="Times New Roman" w:hAnsi="Tahoma" w:cs="Tahoma"/>
          <w:kern w:val="0"/>
          <w:lang w:val="es-ES" w:eastAsia="es-CO"/>
          <w14:ligatures w14:val="none"/>
        </w:rPr>
      </w:pPr>
      <w:r w:rsidRPr="002D4AB0">
        <w:rPr>
          <w:rFonts w:ascii="Tahoma" w:eastAsia="Arial" w:hAnsi="Tahoma" w:cs="Tahoma"/>
          <w:b/>
          <w:kern w:val="0"/>
          <w:sz w:val="36"/>
          <w:szCs w:val="36"/>
          <w:lang w:val="es-ES" w:eastAsia="es-CO"/>
          <w14:ligatures w14:val="none"/>
        </w:rPr>
        <w:t>Riesgos identificados para este asunto material</w:t>
      </w:r>
    </w:p>
    <w:p w14:paraId="2F8DC768"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En 2024 no se reportaron impactos negativos relacionados con la gobernanza corporativa. </w:t>
      </w:r>
    </w:p>
    <w:p w14:paraId="6D27B094" w14:textId="77777777" w:rsidR="002F7BFE" w:rsidRPr="00D73106" w:rsidRDefault="002F7BFE" w:rsidP="002F7BFE">
      <w:pPr>
        <w:spacing w:before="240" w:after="240" w:line="240" w:lineRule="auto"/>
        <w:jc w:val="both"/>
        <w:rPr>
          <w:rFonts w:ascii="Tahoma" w:eastAsia="Times New Roman" w:hAnsi="Tahoma" w:cs="Tahoma"/>
          <w:kern w:val="0"/>
          <w:sz w:val="32"/>
          <w:szCs w:val="32"/>
          <w:lang w:val="es-ES" w:eastAsia="es-CO"/>
          <w14:ligatures w14:val="none"/>
        </w:rPr>
      </w:pPr>
      <w:r w:rsidRPr="00D73106">
        <w:rPr>
          <w:rFonts w:ascii="Tahoma" w:eastAsia="Arial" w:hAnsi="Tahoma" w:cs="Tahoma"/>
          <w:b/>
          <w:kern w:val="0"/>
          <w:sz w:val="32"/>
          <w:szCs w:val="32"/>
          <w:lang w:val="es-ES" w:eastAsia="es-CO"/>
          <w14:ligatures w14:val="none"/>
        </w:rPr>
        <w:t>Oportunidades</w:t>
      </w:r>
    </w:p>
    <w:p w14:paraId="26AE08C4" w14:textId="77777777" w:rsidR="002F7BFE" w:rsidRPr="002D4AB0" w:rsidRDefault="002F7BFE" w:rsidP="002F7BFE">
      <w:pPr>
        <w:numPr>
          <w:ilvl w:val="0"/>
          <w:numId w:val="112"/>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La presencia gremial y experiencia en proyectos urbanísticos de los miembros de la Junta Directiva.</w:t>
      </w:r>
    </w:p>
    <w:p w14:paraId="7D93095D" w14:textId="77777777" w:rsidR="002F7BFE" w:rsidRPr="002D4AB0" w:rsidRDefault="002F7BFE" w:rsidP="002F7BFE">
      <w:pPr>
        <w:numPr>
          <w:ilvl w:val="0"/>
          <w:numId w:val="112"/>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La sólida experiencia en sostenibilidad y gobernanza que poseen todos los miembros de la Junta.</w:t>
      </w:r>
    </w:p>
    <w:p w14:paraId="0CDB1D8A" w14:textId="77777777" w:rsidR="002F7BFE" w:rsidRPr="002D4AB0" w:rsidRDefault="002F7BFE" w:rsidP="002F7BFE">
      <w:pPr>
        <w:numPr>
          <w:ilvl w:val="0"/>
          <w:numId w:val="112"/>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La frecuencia de reuniones de la Junta Directiva y la de las reuniones preparatorias permite abordar los temas organizacionales.</w:t>
      </w:r>
    </w:p>
    <w:p w14:paraId="4D08E836"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b/>
          <w:kern w:val="0"/>
          <w:lang w:val="es-ES" w:eastAsia="es-CO"/>
          <w14:ligatures w14:val="none"/>
        </w:rPr>
        <w:t>Anticipación</w:t>
      </w:r>
    </w:p>
    <w:p w14:paraId="69C1387B" w14:textId="77777777" w:rsidR="002F7BFE" w:rsidRPr="002D4AB0" w:rsidRDefault="002F7BFE" w:rsidP="002F7BFE">
      <w:pPr>
        <w:numPr>
          <w:ilvl w:val="0"/>
          <w:numId w:val="113"/>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Con la integración de miembros de alto nivel se fortaleció la capacidad de la Junta para abordar temas complejos.</w:t>
      </w:r>
    </w:p>
    <w:p w14:paraId="34A0B0DC" w14:textId="77777777" w:rsidR="002F7BFE" w:rsidRPr="002D4AB0" w:rsidRDefault="002F7BFE" w:rsidP="002F7BFE">
      <w:pPr>
        <w:numPr>
          <w:ilvl w:val="0"/>
          <w:numId w:val="113"/>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La experiencia de los miembros de Junta facilita la toma de decisiones clave en aspectos críticos de sostenibilidad.</w:t>
      </w:r>
    </w:p>
    <w:p w14:paraId="13ADAA29" w14:textId="77777777" w:rsidR="002F7BFE" w:rsidRPr="002D4AB0" w:rsidRDefault="002F7BFE" w:rsidP="002F7BFE">
      <w:pPr>
        <w:numPr>
          <w:ilvl w:val="0"/>
          <w:numId w:val="113"/>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lastRenderedPageBreak/>
        <w:t>El número de reuniones (seis ordinarias y tres extraordinarias en 2024) permitió una adecuada cobertura de todos los temas relevantes. Para 2025 si se requiere alguna reunión adicional, el procedimiento de convocatoria lo facilita.</w:t>
      </w:r>
    </w:p>
    <w:p w14:paraId="0865B041" w14:textId="77777777" w:rsidR="002F7BFE" w:rsidRPr="00D73106" w:rsidRDefault="002F7BFE" w:rsidP="002F7BFE">
      <w:pPr>
        <w:spacing w:before="240" w:after="240" w:line="240" w:lineRule="auto"/>
        <w:jc w:val="both"/>
        <w:rPr>
          <w:rFonts w:ascii="Tahoma" w:eastAsia="Times New Roman" w:hAnsi="Tahoma" w:cs="Tahoma"/>
          <w:kern w:val="0"/>
          <w:sz w:val="32"/>
          <w:szCs w:val="32"/>
          <w:lang w:val="es-ES" w:eastAsia="es-CO"/>
          <w14:ligatures w14:val="none"/>
        </w:rPr>
      </w:pPr>
      <w:r w:rsidRPr="00D73106">
        <w:rPr>
          <w:rFonts w:ascii="Tahoma" w:eastAsia="Arial" w:hAnsi="Tahoma" w:cs="Tahoma"/>
          <w:b/>
          <w:kern w:val="0"/>
          <w:sz w:val="32"/>
          <w:szCs w:val="32"/>
          <w:lang w:val="es-ES" w:eastAsia="es-CO"/>
          <w14:ligatures w14:val="none"/>
        </w:rPr>
        <w:t>Metas y objetivos alcanzados</w:t>
      </w:r>
    </w:p>
    <w:p w14:paraId="40275A6C"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Los resultados de los indicadores del Tablero Balanceado de Gestión y de alto nivel y desempeño de la organización, a los cuales hace seguimiento la Junta Directiva, se consignan en el formulario de estrategia. </w:t>
      </w:r>
    </w:p>
    <w:p w14:paraId="40C4AC8A" w14:textId="77777777" w:rsidR="002F7BFE" w:rsidRPr="00D73106" w:rsidRDefault="002F7BFE" w:rsidP="002F7BFE">
      <w:pPr>
        <w:spacing w:line="240" w:lineRule="auto"/>
        <w:jc w:val="both"/>
        <w:rPr>
          <w:rFonts w:ascii="Tahoma" w:eastAsia="Times New Roman" w:hAnsi="Tahoma" w:cs="Tahoma"/>
          <w:kern w:val="0"/>
          <w:sz w:val="32"/>
          <w:szCs w:val="32"/>
          <w:lang w:val="es-ES" w:eastAsia="es-CO"/>
          <w14:ligatures w14:val="none"/>
        </w:rPr>
      </w:pPr>
      <w:r w:rsidRPr="00D73106">
        <w:rPr>
          <w:rFonts w:ascii="Tahoma" w:eastAsia="Arial" w:hAnsi="Tahoma" w:cs="Tahoma"/>
          <w:b/>
          <w:kern w:val="0"/>
          <w:sz w:val="32"/>
          <w:szCs w:val="32"/>
          <w:lang w:val="es-ES" w:eastAsia="es-CO"/>
          <w14:ligatures w14:val="none"/>
        </w:rPr>
        <w:t>Lecciones aprendidas</w:t>
      </w:r>
    </w:p>
    <w:p w14:paraId="541BF2AA"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La Junta Directiva continúa fortaleciendo el sistema de gestión de seguridad y salud en el trabajo, promoviendo la capacitación continua de todos los empleados y fomentando una cultura de seguridad en la empresa. </w:t>
      </w:r>
    </w:p>
    <w:p w14:paraId="4F393701"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Dado que el entorno del negocio se ha vuelto más complejo, demanda a la compañía agilidad en la toma de decisiones y revisión constante del entorno. </w:t>
      </w:r>
    </w:p>
    <w:p w14:paraId="60FFF3A2" w14:textId="77777777" w:rsidR="002F7BFE" w:rsidRPr="00D73106" w:rsidRDefault="002F7BFE" w:rsidP="002F7BFE">
      <w:pPr>
        <w:spacing w:before="240" w:after="240" w:line="240" w:lineRule="auto"/>
        <w:jc w:val="both"/>
        <w:rPr>
          <w:rFonts w:ascii="Tahoma" w:eastAsia="Times New Roman" w:hAnsi="Tahoma" w:cs="Tahoma"/>
          <w:kern w:val="0"/>
          <w:sz w:val="32"/>
          <w:szCs w:val="32"/>
          <w:lang w:val="es-ES" w:eastAsia="es-CO"/>
          <w14:ligatures w14:val="none"/>
        </w:rPr>
      </w:pPr>
      <w:r w:rsidRPr="00D73106">
        <w:rPr>
          <w:rFonts w:ascii="Tahoma" w:eastAsia="Arial" w:hAnsi="Tahoma" w:cs="Tahoma"/>
          <w:b/>
          <w:kern w:val="0"/>
          <w:sz w:val="32"/>
          <w:szCs w:val="32"/>
          <w:lang w:val="es-ES" w:eastAsia="es-CO"/>
          <w14:ligatures w14:val="none"/>
        </w:rPr>
        <w:t>¿Cómo se aplican?</w:t>
      </w:r>
    </w:p>
    <w:p w14:paraId="563278A0" w14:textId="77777777" w:rsidR="002F7BFE" w:rsidRPr="002D4AB0" w:rsidRDefault="002F7BFE" w:rsidP="002F7BFE">
      <w:pPr>
        <w:numPr>
          <w:ilvl w:val="0"/>
          <w:numId w:val="114"/>
        </w:numPr>
        <w:spacing w:after="0"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Se realizó capacitación en temas de salud y seguridad en el trabajo a todos los miembros de la Junta.</w:t>
      </w:r>
    </w:p>
    <w:p w14:paraId="694A65BE" w14:textId="77777777" w:rsidR="002F7BFE" w:rsidRPr="002D4AB0" w:rsidRDefault="002F7BFE" w:rsidP="002F7BFE">
      <w:pPr>
        <w:numPr>
          <w:ilvl w:val="0"/>
          <w:numId w:val="114"/>
        </w:numPr>
        <w:spacing w:line="240" w:lineRule="auto"/>
        <w:jc w:val="both"/>
        <w:rPr>
          <w:rFonts w:ascii="Tahoma" w:eastAsia="Aptos" w:hAnsi="Tahoma" w:cs="Tahoma"/>
          <w:kern w:val="0"/>
          <w:lang w:val="es-ES" w:eastAsia="es-CO"/>
          <w14:ligatures w14:val="none"/>
        </w:rPr>
      </w:pPr>
      <w:r w:rsidRPr="002D4AB0">
        <w:rPr>
          <w:rFonts w:ascii="Tahoma" w:eastAsia="Aptos" w:hAnsi="Tahoma" w:cs="Tahoma"/>
          <w:kern w:val="0"/>
          <w:lang w:val="es-ES" w:eastAsia="es-CO"/>
          <w14:ligatures w14:val="none"/>
        </w:rPr>
        <w:t>Se agilizó el proceso de toma de decisiones de la Junta gracias a que se disminuyó de 4 a 3 el quórum deliberatorio. </w:t>
      </w:r>
    </w:p>
    <w:p w14:paraId="662E1F22" w14:textId="77777777" w:rsidR="002F7BFE" w:rsidRPr="00D73106" w:rsidRDefault="002F7BFE" w:rsidP="002F7BFE">
      <w:pPr>
        <w:spacing w:before="240" w:after="240" w:line="240" w:lineRule="auto"/>
        <w:jc w:val="both"/>
        <w:rPr>
          <w:rFonts w:ascii="Tahoma" w:eastAsia="Times New Roman" w:hAnsi="Tahoma" w:cs="Tahoma"/>
          <w:kern w:val="0"/>
          <w:sz w:val="32"/>
          <w:szCs w:val="32"/>
          <w:lang w:val="es-ES" w:eastAsia="es-CO"/>
          <w14:ligatures w14:val="none"/>
        </w:rPr>
      </w:pPr>
      <w:r w:rsidRPr="00D73106">
        <w:rPr>
          <w:rFonts w:ascii="Tahoma" w:eastAsia="Arial" w:hAnsi="Tahoma" w:cs="Tahoma"/>
          <w:b/>
          <w:kern w:val="0"/>
          <w:sz w:val="32"/>
          <w:szCs w:val="32"/>
          <w:lang w:val="es-ES" w:eastAsia="es-CO"/>
          <w14:ligatures w14:val="none"/>
        </w:rPr>
        <w:t>Comunicación con los grupos de interés</w:t>
      </w:r>
    </w:p>
    <w:p w14:paraId="126D57E3" w14:textId="77777777" w:rsidR="002F7BFE" w:rsidRPr="002D4AB0" w:rsidRDefault="002F7BFE" w:rsidP="002F7BFE">
      <w:pPr>
        <w:spacing w:line="240" w:lineRule="auto"/>
        <w:jc w:val="both"/>
        <w:rPr>
          <w:rFonts w:ascii="Tahoma" w:eastAsia="Times New Roman" w:hAnsi="Tahoma" w:cs="Tahoma"/>
          <w:kern w:val="0"/>
          <w:lang w:val="es-ES" w:eastAsia="es-CO"/>
          <w14:ligatures w14:val="none"/>
        </w:rPr>
      </w:pPr>
      <w:r w:rsidRPr="002D4AB0">
        <w:rPr>
          <w:rFonts w:ascii="Tahoma" w:eastAsia="Aptos" w:hAnsi="Tahoma" w:cs="Tahoma"/>
          <w:kern w:val="0"/>
          <w:lang w:val="es-ES" w:eastAsia="es-CO"/>
          <w14:ligatures w14:val="none"/>
        </w:rPr>
        <w:t>Debido a que el principal grupo de interés para este asunto material son los accionistas y colaboradores, los resultados de la gestión se comunican a través del Informe de Gestión.</w:t>
      </w:r>
    </w:p>
    <w:p w14:paraId="4C967D0E"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25D07239"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3CBE9A24"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7665ED24"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35655AA9"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098AE841"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6D3837CA" w14:textId="77777777" w:rsidR="002F7BFE" w:rsidRDefault="002F7BFE" w:rsidP="00B61721">
      <w:pPr>
        <w:spacing w:after="0" w:line="240" w:lineRule="auto"/>
        <w:jc w:val="both"/>
        <w:rPr>
          <w:rFonts w:ascii="Tahoma" w:eastAsia="Aptos" w:hAnsi="Tahoma" w:cs="Tahoma"/>
          <w:b/>
          <w:color w:val="0070C0"/>
          <w:kern w:val="0"/>
          <w:sz w:val="32"/>
          <w:szCs w:val="32"/>
          <w:lang w:val="es-ES" w:eastAsia="es-CO"/>
          <w14:ligatures w14:val="none"/>
        </w:rPr>
      </w:pPr>
    </w:p>
    <w:p w14:paraId="2EAFAEF7" w14:textId="30FCCC59" w:rsidR="00B61721" w:rsidRPr="008C15D5" w:rsidRDefault="00B61721" w:rsidP="00B61721">
      <w:pPr>
        <w:spacing w:after="0" w:line="240" w:lineRule="auto"/>
        <w:jc w:val="both"/>
        <w:rPr>
          <w:rFonts w:ascii="Tahoma" w:eastAsia="Times New Roman" w:hAnsi="Tahoma" w:cs="Tahoma"/>
          <w:color w:val="0070C0"/>
          <w:kern w:val="0"/>
          <w:sz w:val="32"/>
          <w:szCs w:val="32"/>
          <w:lang w:val="es-ES" w:eastAsia="es-CO"/>
          <w14:ligatures w14:val="none"/>
        </w:rPr>
      </w:pPr>
      <w:r w:rsidRPr="008C15D5">
        <w:rPr>
          <w:rFonts w:ascii="Tahoma" w:eastAsia="Aptos" w:hAnsi="Tahoma" w:cs="Tahoma"/>
          <w:b/>
          <w:color w:val="0070C0"/>
          <w:kern w:val="0"/>
          <w:sz w:val="32"/>
          <w:szCs w:val="32"/>
          <w:lang w:val="es-ES" w:eastAsia="es-CO"/>
          <w14:ligatures w14:val="none"/>
        </w:rPr>
        <w:lastRenderedPageBreak/>
        <w:t>Capacidad para cumplir sus objetivos financieros y de negocio aprovechando las oportunidades y garantizando la vigencia corporativa</w:t>
      </w:r>
    </w:p>
    <w:p w14:paraId="24D7FA19"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CA245AF" w14:textId="77777777" w:rsidR="00B61721" w:rsidRPr="00B61721" w:rsidRDefault="00B61721" w:rsidP="00B61721">
      <w:pPr>
        <w:spacing w:after="0" w:line="240" w:lineRule="auto"/>
        <w:jc w:val="both"/>
        <w:rPr>
          <w:rFonts w:ascii="Tahoma" w:eastAsia="Times New Roman" w:hAnsi="Tahoma" w:cs="Tahoma"/>
          <w:kern w:val="0"/>
          <w:sz w:val="28"/>
          <w:lang w:val="es-ES" w:eastAsia="es-CO"/>
          <w14:ligatures w14:val="none"/>
        </w:rPr>
      </w:pPr>
      <w:r w:rsidRPr="00B61721">
        <w:rPr>
          <w:rFonts w:ascii="Tahoma" w:eastAsia="Aptos" w:hAnsi="Tahoma" w:cs="Tahoma"/>
          <w:b/>
          <w:kern w:val="0"/>
          <w:sz w:val="32"/>
          <w:szCs w:val="28"/>
          <w:lang w:val="es-ES" w:eastAsia="es-CO"/>
          <w14:ligatures w14:val="none"/>
        </w:rPr>
        <w:t>Solidez y crecimiento</w:t>
      </w:r>
    </w:p>
    <w:p w14:paraId="485811AE" w14:textId="77777777" w:rsidR="00B61721" w:rsidRPr="00B61721" w:rsidRDefault="00B61721" w:rsidP="00B61721">
      <w:pPr>
        <w:spacing w:after="0" w:line="240" w:lineRule="auto"/>
        <w:jc w:val="both"/>
        <w:rPr>
          <w:rFonts w:ascii="Tahoma" w:eastAsia="Aptos" w:hAnsi="Tahoma" w:cs="Tahoma"/>
          <w:b/>
          <w:kern w:val="0"/>
          <w:sz w:val="28"/>
          <w:szCs w:val="28"/>
          <w:lang w:val="es-ES" w:eastAsia="es-CO"/>
          <w14:ligatures w14:val="none"/>
        </w:rPr>
      </w:pPr>
    </w:p>
    <w:p w14:paraId="524525DA" w14:textId="51AED40C" w:rsidR="00D44D8E" w:rsidRDefault="00B61721" w:rsidP="00D44D8E">
      <w:pPr>
        <w:spacing w:after="0" w:line="240" w:lineRule="auto"/>
        <w:jc w:val="both"/>
        <w:rPr>
          <w:rFonts w:ascii="Tahoma" w:eastAsia="Aptos" w:hAnsi="Tahoma" w:cs="Tahoma"/>
          <w:kern w:val="0"/>
          <w:lang w:eastAsia="es-CO"/>
          <w14:ligatures w14:val="none"/>
        </w:rPr>
      </w:pPr>
      <w:r w:rsidRPr="00B61721">
        <w:rPr>
          <w:rFonts w:ascii="Tahoma" w:eastAsia="Aptos" w:hAnsi="Tahoma" w:cs="Tahoma"/>
          <w:kern w:val="0"/>
          <w:lang w:val="es-ES" w:eastAsia="es-CO"/>
          <w14:ligatures w14:val="none"/>
        </w:rPr>
        <w:t>TRANSELCA es la garantía de su vigencia corporativa por eso busca optimizar la inversión de capital</w:t>
      </w:r>
      <w:r w:rsidR="00AB38B6">
        <w:rPr>
          <w:rFonts w:ascii="Tahoma" w:eastAsia="Aptos" w:hAnsi="Tahoma" w:cs="Tahoma"/>
          <w:kern w:val="0"/>
          <w:lang w:val="es-ES" w:eastAsia="es-CO"/>
          <w14:ligatures w14:val="none"/>
        </w:rPr>
        <w:t>, con el</w:t>
      </w:r>
      <w:r w:rsidR="00704FC8">
        <w:rPr>
          <w:rFonts w:ascii="Tahoma" w:eastAsia="Aptos" w:hAnsi="Tahoma" w:cs="Tahoma"/>
          <w:kern w:val="0"/>
          <w:lang w:eastAsia="es-CO"/>
          <w14:ligatures w14:val="none"/>
        </w:rPr>
        <w:t xml:space="preserve"> </w:t>
      </w:r>
      <w:r w:rsidR="00D44D8E" w:rsidRPr="00D44D8E">
        <w:rPr>
          <w:rFonts w:ascii="Tahoma" w:eastAsia="Aptos" w:hAnsi="Tahoma" w:cs="Tahoma"/>
          <w:kern w:val="0"/>
          <w:lang w:eastAsia="es-CO"/>
          <w14:ligatures w14:val="none"/>
        </w:rPr>
        <w:t xml:space="preserve">propósito es generar valor </w:t>
      </w:r>
      <w:r w:rsidR="00DA308C">
        <w:rPr>
          <w:rFonts w:ascii="Tahoma" w:eastAsia="Aptos" w:hAnsi="Tahoma" w:cs="Tahoma"/>
          <w:kern w:val="0"/>
          <w:lang w:eastAsia="es-CO"/>
          <w14:ligatures w14:val="none"/>
        </w:rPr>
        <w:t>implementando</w:t>
      </w:r>
      <w:r w:rsidR="00D44D8E">
        <w:rPr>
          <w:rFonts w:ascii="Tahoma" w:eastAsia="Aptos" w:hAnsi="Tahoma" w:cs="Tahoma"/>
          <w:kern w:val="0"/>
          <w:lang w:eastAsia="es-CO"/>
          <w14:ligatures w14:val="none"/>
        </w:rPr>
        <w:t xml:space="preserve"> </w:t>
      </w:r>
      <w:r w:rsidR="00D44D8E" w:rsidRPr="00D44D8E">
        <w:rPr>
          <w:rFonts w:ascii="Tahoma" w:eastAsia="Aptos" w:hAnsi="Tahoma" w:cs="Tahoma"/>
          <w:kern w:val="0"/>
          <w:lang w:eastAsia="es-CO"/>
          <w14:ligatures w14:val="none"/>
        </w:rPr>
        <w:t>prácticas de buen gobierno y alineadas con</w:t>
      </w:r>
      <w:r w:rsidR="00D44D8E">
        <w:rPr>
          <w:rFonts w:ascii="Tahoma" w:eastAsia="Aptos" w:hAnsi="Tahoma" w:cs="Tahoma"/>
          <w:kern w:val="0"/>
          <w:lang w:eastAsia="es-CO"/>
          <w14:ligatures w14:val="none"/>
        </w:rPr>
        <w:t xml:space="preserve"> </w:t>
      </w:r>
      <w:r w:rsidR="00D44D8E" w:rsidRPr="00D44D8E">
        <w:rPr>
          <w:rFonts w:ascii="Tahoma" w:eastAsia="Aptos" w:hAnsi="Tahoma" w:cs="Tahoma"/>
          <w:kern w:val="0"/>
          <w:lang w:eastAsia="es-CO"/>
          <w14:ligatures w14:val="none"/>
        </w:rPr>
        <w:t>los objetivos de desarrollo sostenible y la política</w:t>
      </w:r>
      <w:r w:rsidR="00D44D8E">
        <w:rPr>
          <w:rFonts w:ascii="Tahoma" w:eastAsia="Aptos" w:hAnsi="Tahoma" w:cs="Tahoma"/>
          <w:kern w:val="0"/>
          <w:lang w:eastAsia="es-CO"/>
          <w14:ligatures w14:val="none"/>
        </w:rPr>
        <w:t xml:space="preserve"> </w:t>
      </w:r>
      <w:r w:rsidR="00D44D8E" w:rsidRPr="00D44D8E">
        <w:rPr>
          <w:rFonts w:ascii="Tahoma" w:eastAsia="Aptos" w:hAnsi="Tahoma" w:cs="Tahoma"/>
          <w:kern w:val="0"/>
          <w:lang w:eastAsia="es-CO"/>
          <w14:ligatures w14:val="none"/>
        </w:rPr>
        <w:t>de transición energética del país</w:t>
      </w:r>
      <w:r w:rsidR="00F66950">
        <w:rPr>
          <w:rFonts w:ascii="Tahoma" w:eastAsia="Aptos" w:hAnsi="Tahoma" w:cs="Tahoma"/>
          <w:kern w:val="0"/>
          <w:lang w:eastAsia="es-CO"/>
          <w14:ligatures w14:val="none"/>
        </w:rPr>
        <w:t xml:space="preserve">, esto lo realiza desde la Gerencia financiera. </w:t>
      </w:r>
    </w:p>
    <w:p w14:paraId="78301E2E" w14:textId="77777777" w:rsidR="00D44D8E" w:rsidRPr="00D44D8E" w:rsidRDefault="00D44D8E" w:rsidP="00D44D8E">
      <w:pPr>
        <w:spacing w:after="0" w:line="240" w:lineRule="auto"/>
        <w:jc w:val="both"/>
        <w:rPr>
          <w:rFonts w:ascii="Tahoma" w:eastAsia="Aptos" w:hAnsi="Tahoma" w:cs="Tahoma"/>
          <w:kern w:val="0"/>
          <w:lang w:eastAsia="es-CO"/>
          <w14:ligatures w14:val="none"/>
        </w:rPr>
      </w:pPr>
    </w:p>
    <w:p w14:paraId="3C2AABE7" w14:textId="3A125316" w:rsidR="00D44D8E" w:rsidRDefault="00D44D8E" w:rsidP="00D44D8E">
      <w:pPr>
        <w:spacing w:after="0" w:line="240" w:lineRule="auto"/>
        <w:jc w:val="both"/>
        <w:rPr>
          <w:rFonts w:ascii="Tahoma" w:eastAsia="Aptos" w:hAnsi="Tahoma" w:cs="Tahoma"/>
          <w:kern w:val="0"/>
          <w:lang w:eastAsia="es-CO"/>
          <w14:ligatures w14:val="none"/>
        </w:rPr>
      </w:pPr>
      <w:r w:rsidRPr="00D44D8E">
        <w:rPr>
          <w:rFonts w:ascii="Tahoma" w:eastAsia="Aptos" w:hAnsi="Tahoma" w:cs="Tahoma"/>
          <w:kern w:val="0"/>
          <w:lang w:eastAsia="es-CO"/>
          <w14:ligatures w14:val="none"/>
        </w:rPr>
        <w:t>Esta área también contribuye en los procesos de</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negociación con la convención colectiva para la</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cual brinda asesoría buscando el equilibrio económico</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entre el impacto financiero y el bienestar de</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los colaboradores.</w:t>
      </w:r>
    </w:p>
    <w:p w14:paraId="64040419" w14:textId="77777777" w:rsidR="00D44D8E" w:rsidRPr="00D44D8E" w:rsidRDefault="00D44D8E" w:rsidP="00D44D8E">
      <w:pPr>
        <w:spacing w:after="0" w:line="240" w:lineRule="auto"/>
        <w:jc w:val="both"/>
        <w:rPr>
          <w:rFonts w:ascii="Tahoma" w:eastAsia="Aptos" w:hAnsi="Tahoma" w:cs="Tahoma"/>
          <w:kern w:val="0"/>
          <w:lang w:eastAsia="es-CO"/>
          <w14:ligatures w14:val="none"/>
        </w:rPr>
      </w:pPr>
    </w:p>
    <w:p w14:paraId="0E1F6030" w14:textId="176E193E" w:rsidR="00B61721" w:rsidRDefault="00D44D8E" w:rsidP="00D44D8E">
      <w:pPr>
        <w:spacing w:after="0" w:line="240" w:lineRule="auto"/>
        <w:jc w:val="both"/>
        <w:rPr>
          <w:rFonts w:ascii="Tahoma" w:eastAsia="Aptos" w:hAnsi="Tahoma" w:cs="Tahoma"/>
          <w:kern w:val="0"/>
          <w:lang w:eastAsia="es-CO"/>
          <w14:ligatures w14:val="none"/>
        </w:rPr>
      </w:pPr>
      <w:r w:rsidRPr="00D44D8E">
        <w:rPr>
          <w:rFonts w:ascii="Tahoma" w:eastAsia="Aptos" w:hAnsi="Tahoma" w:cs="Tahoma"/>
          <w:kern w:val="0"/>
          <w:lang w:eastAsia="es-CO"/>
          <w14:ligatures w14:val="none"/>
        </w:rPr>
        <w:t>En materia de sostenibilidad, la Gerencia Financiera</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apoya la consecución de los recursos financieros</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para los proyectos ambientales y sociales y la</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búsqueda constante por la eficiencia de los recursos</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favorece los indicadores ambientales y sociales</w:t>
      </w:r>
      <w:r>
        <w:rPr>
          <w:rFonts w:ascii="Tahoma" w:eastAsia="Aptos" w:hAnsi="Tahoma" w:cs="Tahoma"/>
          <w:kern w:val="0"/>
          <w:lang w:eastAsia="es-CO"/>
          <w14:ligatures w14:val="none"/>
        </w:rPr>
        <w:t xml:space="preserve"> </w:t>
      </w:r>
      <w:r w:rsidRPr="00D44D8E">
        <w:rPr>
          <w:rFonts w:ascii="Tahoma" w:eastAsia="Aptos" w:hAnsi="Tahoma" w:cs="Tahoma"/>
          <w:kern w:val="0"/>
          <w:lang w:eastAsia="es-CO"/>
          <w14:ligatures w14:val="none"/>
        </w:rPr>
        <w:t>lo cual se refleja en los altos niveles de utilidad.</w:t>
      </w:r>
    </w:p>
    <w:p w14:paraId="0B095426" w14:textId="77777777" w:rsidR="00D44D8E" w:rsidRPr="00B61721" w:rsidRDefault="00D44D8E" w:rsidP="00D44D8E">
      <w:pPr>
        <w:spacing w:after="0" w:line="240" w:lineRule="auto"/>
        <w:rPr>
          <w:rFonts w:ascii="Tahoma" w:eastAsia="Times New Roman" w:hAnsi="Tahoma" w:cs="Tahoma"/>
          <w:kern w:val="0"/>
          <w:lang w:val="es-ES" w:eastAsia="es-CO"/>
          <w14:ligatures w14:val="none"/>
        </w:rPr>
      </w:pPr>
    </w:p>
    <w:p w14:paraId="64B9D8B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rial" w:hAnsi="Tahoma" w:cs="Tahoma"/>
          <w:b/>
          <w:kern w:val="0"/>
          <w:sz w:val="28"/>
          <w:szCs w:val="28"/>
          <w:lang w:val="es-ES" w:eastAsia="es-CO"/>
          <w14:ligatures w14:val="none"/>
        </w:rPr>
        <w:t>Impactos positivos</w:t>
      </w:r>
    </w:p>
    <w:p w14:paraId="48BAF48A"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7441DBC"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El desempeño económico resultó esencial para la sostenibilidad a largo plazo de la empresa, reflejando su capacidad en la generación de ingresos y beneficios necesarios para mantener operaciones, invertir en crecimiento y cumplir con las expectativas de los stakeholders. </w:t>
      </w:r>
    </w:p>
    <w:p w14:paraId="1B3599B4"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r w:rsidRPr="00B61721">
        <w:rPr>
          <w:rFonts w:ascii="Tahoma" w:eastAsia="Times New Roman" w:hAnsi="Tahoma" w:cs="Tahoma"/>
          <w:kern w:val="0"/>
          <w:lang w:val="es-ES" w:eastAsia="es-CO"/>
          <w14:ligatures w14:val="none"/>
        </w:rPr>
        <w:br/>
      </w:r>
      <w:r w:rsidRPr="00B61721">
        <w:rPr>
          <w:rFonts w:ascii="Tahoma" w:eastAsia="Aptos" w:hAnsi="Tahoma" w:cs="Tahoma"/>
          <w:kern w:val="0"/>
          <w:lang w:val="es-ES" w:eastAsia="es-CO"/>
          <w14:ligatures w14:val="none"/>
        </w:rPr>
        <w:t>TRANSELCA continuó destacándose por su contribución al desarrollo económico local y global con la generación de empleo, los aportes tributarios y fomentando el crecimiento de proveedores y socios comerciales.</w:t>
      </w:r>
    </w:p>
    <w:p w14:paraId="7256512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47418EF"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rial" w:hAnsi="Tahoma" w:cs="Tahoma"/>
          <w:b/>
          <w:kern w:val="0"/>
          <w:lang w:val="es-ES" w:eastAsia="es-CO"/>
          <w14:ligatures w14:val="none"/>
        </w:rPr>
        <w:t>Evolución</w:t>
      </w:r>
    </w:p>
    <w:p w14:paraId="24ED8BE0"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81BDE6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En el último año TRANSELCA incrementó su ebitda y utilidad neta, alcanzando indicadores de máximo nivel. Se destacó también la ratificación de la calificación crediticia AAA, obtenida desde el año 2002, y la incursión de nuevos negocios relacionados con energías renovables.</w:t>
      </w:r>
    </w:p>
    <w:p w14:paraId="702EE61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523DB255"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rial" w:hAnsi="Tahoma" w:cs="Tahoma"/>
          <w:b/>
          <w:kern w:val="0"/>
          <w:lang w:val="es-ES" w:eastAsia="es-CO"/>
          <w14:ligatures w14:val="none"/>
        </w:rPr>
        <w:t>Hitos</w:t>
      </w:r>
    </w:p>
    <w:p w14:paraId="23EF46B7"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r w:rsidRPr="00B61721">
        <w:rPr>
          <w:rFonts w:ascii="Tahoma" w:eastAsia="Times New Roman" w:hAnsi="Tahoma" w:cs="Tahoma"/>
          <w:kern w:val="0"/>
          <w:lang w:val="es-ES" w:eastAsia="es-CO"/>
          <w14:ligatures w14:val="none"/>
        </w:rPr>
        <w:br/>
      </w:r>
    </w:p>
    <w:p w14:paraId="2D789A2C" w14:textId="77777777" w:rsidR="00B61721" w:rsidRPr="00B61721" w:rsidRDefault="00B61721" w:rsidP="00AC1146">
      <w:pPr>
        <w:numPr>
          <w:ilvl w:val="0"/>
          <w:numId w:val="59"/>
        </w:num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lastRenderedPageBreak/>
        <w:t>TRANSELCA implementó estrategias de reducción de costos y mejora de eficiencia operativa para optimizar su desempeño económico </w:t>
      </w:r>
    </w:p>
    <w:p w14:paraId="06BF4C99" w14:textId="77777777" w:rsidR="00B61721" w:rsidRPr="00B61721" w:rsidRDefault="00B61721" w:rsidP="00AC1146">
      <w:pPr>
        <w:numPr>
          <w:ilvl w:val="0"/>
          <w:numId w:val="59"/>
        </w:num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Mantuvo una comunicación transparente con sus stakeholders. </w:t>
      </w:r>
    </w:p>
    <w:p w14:paraId="73EA4F6A" w14:textId="77777777" w:rsidR="00B61721" w:rsidRPr="00B61721" w:rsidRDefault="00B61721" w:rsidP="00AC1146">
      <w:pPr>
        <w:numPr>
          <w:ilvl w:val="0"/>
          <w:numId w:val="60"/>
        </w:num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Realizó auditorías internas y externas periódicas para garantizar la precisión de sus informes financieros.</w:t>
      </w:r>
    </w:p>
    <w:p w14:paraId="7EF57A6F" w14:textId="77777777" w:rsidR="00B61721" w:rsidRPr="00B61721" w:rsidRDefault="00B61721" w:rsidP="00B61721">
      <w:pPr>
        <w:spacing w:after="0" w:line="240" w:lineRule="auto"/>
        <w:ind w:left="720"/>
        <w:jc w:val="both"/>
        <w:rPr>
          <w:rFonts w:ascii="Tahoma" w:eastAsia="Times New Roman" w:hAnsi="Tahoma" w:cs="Tahoma"/>
          <w:kern w:val="0"/>
          <w:lang w:val="es-ES" w:eastAsia="es-CO"/>
          <w14:ligatures w14:val="none"/>
        </w:rPr>
      </w:pPr>
    </w:p>
    <w:p w14:paraId="2A66E7F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sz w:val="28"/>
          <w:szCs w:val="28"/>
          <w:lang w:val="es-ES" w:eastAsia="es-CO"/>
          <w14:ligatures w14:val="none"/>
        </w:rPr>
        <w:t>Riesgos de impactos negativos</w:t>
      </w:r>
    </w:p>
    <w:p w14:paraId="48DCC684"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58B8981C" w14:textId="77777777" w:rsidR="00B61721" w:rsidRPr="00B61721" w:rsidRDefault="00B61721" w:rsidP="00AC1146">
      <w:pPr>
        <w:numPr>
          <w:ilvl w:val="0"/>
          <w:numId w:val="65"/>
        </w:numPr>
        <w:pBdr>
          <w:top w:val="nil"/>
          <w:left w:val="nil"/>
          <w:bottom w:val="nil"/>
          <w:right w:val="nil"/>
          <w:between w:val="nil"/>
        </w:pBd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Entorno económico global</w:t>
      </w:r>
      <w:r w:rsidRPr="00B61721">
        <w:rPr>
          <w:rFonts w:ascii="Tahoma" w:eastAsia="Aptos" w:hAnsi="Tahoma" w:cs="Tahoma"/>
          <w:kern w:val="0"/>
          <w:lang w:val="es-ES" w:eastAsia="es-CO"/>
          <w14:ligatures w14:val="none"/>
        </w:rPr>
        <w:t> </w:t>
      </w:r>
    </w:p>
    <w:p w14:paraId="3CB04210"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50E33C20"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 xml:space="preserve">Este riesgo planteó desafíos importantes, incluyendo fluctuaciones en tasas de cambio, precios de materias primas y políticas regulatorias. </w:t>
      </w:r>
    </w:p>
    <w:p w14:paraId="38866913"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p>
    <w:p w14:paraId="1779C264"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gestionó los riesgos con estrategias como optimización de costos, diversificación de ingresos y análisis de mercado, para asegurar su capacidad y adaptarse a cambios en el entorno empresarial.</w:t>
      </w:r>
    </w:p>
    <w:p w14:paraId="35232A8E"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2124543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Gestionar el riesgo macroeconómico fue esencial porque la estabilidad económica global influyó directamente en la capacidad de los países para abordar desafíos ambientales y sociales. Un entorno económico estable promovió el desarrollo sostenible y la equidad, generando beneficios para toda la sociedad.</w:t>
      </w:r>
    </w:p>
    <w:p w14:paraId="09BF9887"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164B1EA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Evolución</w:t>
      </w:r>
    </w:p>
    <w:p w14:paraId="5AE3BB91"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D9F8DC7"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 xml:space="preserve">En el último año </w:t>
      </w:r>
      <w:r w:rsidRPr="00B61721">
        <w:rPr>
          <w:rFonts w:ascii="Tahoma" w:eastAsia="Aptos" w:hAnsi="Tahoma" w:cs="Tahoma"/>
          <w:b/>
          <w:kern w:val="0"/>
          <w:lang w:val="es-ES" w:eastAsia="es-CO"/>
          <w14:ligatures w14:val="none"/>
        </w:rPr>
        <w:t>el riesgo macroeconómico en Colombia</w:t>
      </w:r>
      <w:r w:rsidRPr="00B61721">
        <w:rPr>
          <w:rFonts w:ascii="Tahoma" w:eastAsia="Aptos" w:hAnsi="Tahoma" w:cs="Tahoma"/>
          <w:kern w:val="0"/>
          <w:lang w:val="es-ES" w:eastAsia="es-CO"/>
          <w14:ligatures w14:val="none"/>
        </w:rPr>
        <w:t xml:space="preserve"> evolucionó significativamente debido a varios factores clave:</w:t>
      </w:r>
    </w:p>
    <w:p w14:paraId="1D0EFEE9"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p>
    <w:p w14:paraId="6355EE9C" w14:textId="77777777" w:rsidR="00B61721" w:rsidRPr="00B61721" w:rsidRDefault="00B61721" w:rsidP="00AC1146">
      <w:pPr>
        <w:numPr>
          <w:ilvl w:val="0"/>
          <w:numId w:val="61"/>
        </w:num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 xml:space="preserve">Inflación: </w:t>
      </w:r>
      <w:r w:rsidRPr="00B61721">
        <w:rPr>
          <w:rFonts w:ascii="Tahoma" w:eastAsia="Aptos" w:hAnsi="Tahoma" w:cs="Tahoma"/>
          <w:kern w:val="0"/>
          <w:lang w:val="es-ES" w:eastAsia="es-CO"/>
          <w14:ligatures w14:val="none"/>
        </w:rPr>
        <w:t>La inflación se redujo del 9,28% en 2023 al 5,20% en 2024. Aunque esta disminución fue notable permaneció por encima del objetivo del 3% establecido por el Banco de la República lo que representó un desafío para la estabilidad económica.</w:t>
      </w:r>
    </w:p>
    <w:p w14:paraId="72AFB8D3" w14:textId="77777777" w:rsidR="00B61721" w:rsidRPr="00B61721" w:rsidRDefault="00B61721" w:rsidP="00B61721">
      <w:pPr>
        <w:spacing w:after="0" w:line="240" w:lineRule="auto"/>
        <w:ind w:left="720"/>
        <w:jc w:val="both"/>
        <w:rPr>
          <w:rFonts w:ascii="Tahoma" w:eastAsia="Times New Roman" w:hAnsi="Tahoma" w:cs="Tahoma"/>
          <w:kern w:val="0"/>
          <w:lang w:val="es-ES" w:eastAsia="es-CO"/>
          <w14:ligatures w14:val="none"/>
        </w:rPr>
      </w:pPr>
    </w:p>
    <w:p w14:paraId="5A5274E8" w14:textId="77777777" w:rsidR="00B61721" w:rsidRPr="00B61721" w:rsidRDefault="00B61721" w:rsidP="00AC1146">
      <w:pPr>
        <w:numPr>
          <w:ilvl w:val="0"/>
          <w:numId w:val="62"/>
        </w:num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b/>
          <w:kern w:val="0"/>
          <w:lang w:val="es-ES" w:eastAsia="es-CO"/>
          <w14:ligatures w14:val="none"/>
        </w:rPr>
        <w:t>Crecimiento económico:</w:t>
      </w:r>
      <w:r w:rsidRPr="00B61721">
        <w:rPr>
          <w:rFonts w:ascii="Tahoma" w:eastAsia="Aptos" w:hAnsi="Tahoma" w:cs="Tahoma"/>
          <w:kern w:val="0"/>
          <w:lang w:val="es-ES" w:eastAsia="es-CO"/>
          <w14:ligatures w14:val="none"/>
        </w:rPr>
        <w:t xml:space="preserve"> La economía creció un 1,6% anual durante los primeros tres trimestres de 2024, superando el 0,6% registrado en 2023. Sin embargo, este crecimiento fue lento y desigual.</w:t>
      </w:r>
    </w:p>
    <w:p w14:paraId="285BC4AB" w14:textId="77777777" w:rsidR="00B61721" w:rsidRPr="00B61721" w:rsidRDefault="00B61721" w:rsidP="00B61721">
      <w:pPr>
        <w:spacing w:after="0" w:line="240" w:lineRule="auto"/>
        <w:ind w:left="720"/>
        <w:jc w:val="both"/>
        <w:rPr>
          <w:rFonts w:ascii="Tahoma" w:eastAsia="Aptos" w:hAnsi="Tahoma" w:cs="Tahoma"/>
          <w:kern w:val="0"/>
          <w:lang w:val="es-ES" w:eastAsia="es-CO"/>
          <w14:ligatures w14:val="none"/>
        </w:rPr>
      </w:pPr>
    </w:p>
    <w:p w14:paraId="6394AC89" w14:textId="77777777" w:rsidR="00B61721" w:rsidRPr="00B61721" w:rsidRDefault="00B61721" w:rsidP="00AC1146">
      <w:pPr>
        <w:numPr>
          <w:ilvl w:val="0"/>
          <w:numId w:val="62"/>
        </w:num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Tasas de interés:</w:t>
      </w:r>
      <w:r w:rsidRPr="00B61721">
        <w:rPr>
          <w:rFonts w:ascii="Tahoma" w:eastAsia="Aptos" w:hAnsi="Tahoma" w:cs="Tahoma"/>
          <w:kern w:val="0"/>
          <w:lang w:val="es-ES" w:eastAsia="es-CO"/>
          <w14:ligatures w14:val="none"/>
        </w:rPr>
        <w:t xml:space="preserve"> A lo largo del año el Banco de la República mantuvo una tasa de intervención alta del 9,5% con perspectivas de futuras reducciones para impulsar el crecimiento del PIB.</w:t>
      </w:r>
    </w:p>
    <w:p w14:paraId="59ABEA7F" w14:textId="77777777" w:rsidR="00B61721" w:rsidRPr="00B61721" w:rsidRDefault="00B61721" w:rsidP="00B61721">
      <w:pPr>
        <w:spacing w:after="0" w:line="240" w:lineRule="auto"/>
        <w:ind w:left="720"/>
        <w:jc w:val="both"/>
        <w:rPr>
          <w:rFonts w:ascii="Tahoma" w:eastAsia="Aptos" w:hAnsi="Tahoma" w:cs="Tahoma"/>
          <w:kern w:val="0"/>
          <w:lang w:val="es-ES" w:eastAsia="es-CO"/>
          <w14:ligatures w14:val="none"/>
        </w:rPr>
      </w:pPr>
    </w:p>
    <w:p w14:paraId="334FE51A" w14:textId="77777777" w:rsidR="00B61721" w:rsidRPr="00B61721" w:rsidRDefault="00B61721" w:rsidP="00AC1146">
      <w:pPr>
        <w:numPr>
          <w:ilvl w:val="0"/>
          <w:numId w:val="63"/>
        </w:num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Deuda pública y desafíos fiscales:</w:t>
      </w:r>
      <w:r w:rsidRPr="00B61721">
        <w:rPr>
          <w:rFonts w:ascii="Tahoma" w:eastAsia="Aptos" w:hAnsi="Tahoma" w:cs="Tahoma"/>
          <w:kern w:val="0"/>
          <w:lang w:val="es-ES" w:eastAsia="es-CO"/>
          <w14:ligatures w14:val="none"/>
        </w:rPr>
        <w:t xml:space="preserve"> La caída en el recaudo y la desfinanciación del Presupuesto General generaron debates sobre posibles </w:t>
      </w:r>
      <w:r w:rsidRPr="00B61721">
        <w:rPr>
          <w:rFonts w:ascii="Tahoma" w:eastAsia="Aptos" w:hAnsi="Tahoma" w:cs="Tahoma"/>
          <w:kern w:val="0"/>
          <w:lang w:val="es-ES" w:eastAsia="es-CO"/>
          <w14:ligatures w14:val="none"/>
        </w:rPr>
        <w:lastRenderedPageBreak/>
        <w:t>recortes en el gasto público y la necesidad de implementar reformas tributarias urgentes.</w:t>
      </w:r>
    </w:p>
    <w:p w14:paraId="1B14DD8E" w14:textId="77777777" w:rsidR="00B61721" w:rsidRPr="00B61721" w:rsidRDefault="00B61721" w:rsidP="00B61721">
      <w:pPr>
        <w:spacing w:after="0" w:line="240" w:lineRule="auto"/>
        <w:ind w:left="720"/>
        <w:jc w:val="both"/>
        <w:rPr>
          <w:rFonts w:ascii="Tahoma" w:eastAsia="Times New Roman" w:hAnsi="Tahoma" w:cs="Tahoma"/>
          <w:kern w:val="0"/>
          <w:lang w:val="es-ES" w:eastAsia="es-CO"/>
          <w14:ligatures w14:val="none"/>
        </w:rPr>
      </w:pPr>
    </w:p>
    <w:p w14:paraId="0A845287" w14:textId="77777777" w:rsidR="00B61721" w:rsidRPr="00B61721" w:rsidRDefault="00B61721" w:rsidP="00AC1146">
      <w:pPr>
        <w:numPr>
          <w:ilvl w:val="0"/>
          <w:numId w:val="64"/>
        </w:num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b/>
          <w:kern w:val="0"/>
          <w:lang w:val="es-ES" w:eastAsia="es-CO"/>
          <w14:ligatures w14:val="none"/>
        </w:rPr>
        <w:t>Tasa de cambio:</w:t>
      </w:r>
      <w:r w:rsidRPr="00B61721">
        <w:rPr>
          <w:rFonts w:ascii="Tahoma" w:eastAsia="Aptos" w:hAnsi="Tahoma" w:cs="Tahoma"/>
          <w:kern w:val="0"/>
          <w:lang w:val="es-ES" w:eastAsia="es-CO"/>
          <w14:ligatures w14:val="none"/>
        </w:rPr>
        <w:t xml:space="preserve"> El peso colombiano continuó devaluándose frente al dólar, lo que incrementó la incertidumbre económica.</w:t>
      </w:r>
    </w:p>
    <w:p w14:paraId="115EB287"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8F3A255"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Estos factores evidenciaron un entorno macroeconómico desafiante con avances en algunos indicadores, pero con riesgos estructurales que debían gestionarse para garantizar una recuperación económica sostenible.</w:t>
      </w:r>
    </w:p>
    <w:p w14:paraId="35A7870C"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6F4AE0C"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sz w:val="26"/>
          <w:szCs w:val="26"/>
          <w:lang w:val="es-ES" w:eastAsia="es-CO"/>
          <w14:ligatures w14:val="none"/>
        </w:rPr>
        <w:t>Hitos</w:t>
      </w:r>
    </w:p>
    <w:p w14:paraId="23C608A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F45F58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mantuvo un crecimiento sostenido mediante la implementación de estrategias que aseguraron los recursos necesarios para su operación y el desarrollo de sus planes de inversión y expansión.</w:t>
      </w:r>
    </w:p>
    <w:p w14:paraId="39E8611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22E128D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Anticipación</w:t>
      </w:r>
    </w:p>
    <w:p w14:paraId="32E87B2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1BC93FBE"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Para anticiparse a las oportunidades futuras en un entorno de riesgo macroeconómico TRANSELCA realizó un análisis exhaustivo de los riesgos y oportunidades emergentes, monitoreando indicadores económicos claves a través de su sistema de gestión de riesgos.</w:t>
      </w:r>
    </w:p>
    <w:p w14:paraId="129F14D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BEE89FD" w14:textId="77777777" w:rsidR="00B61721" w:rsidRPr="00B61721" w:rsidRDefault="00B61721" w:rsidP="00AC1146">
      <w:pPr>
        <w:numPr>
          <w:ilvl w:val="0"/>
          <w:numId w:val="65"/>
        </w:numPr>
        <w:pBdr>
          <w:top w:val="nil"/>
          <w:left w:val="nil"/>
          <w:bottom w:val="nil"/>
          <w:right w:val="nil"/>
          <w:between w:val="nil"/>
        </w:pBd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Incumplimiento de pagos por parte de operadores de red </w:t>
      </w:r>
    </w:p>
    <w:p w14:paraId="0930969D" w14:textId="77777777" w:rsidR="00B61721" w:rsidRPr="00B61721" w:rsidRDefault="00B61721" w:rsidP="00B61721">
      <w:pPr>
        <w:spacing w:after="0" w:line="240" w:lineRule="auto"/>
        <w:rPr>
          <w:rFonts w:ascii="Tahoma" w:eastAsia="Times New Roman" w:hAnsi="Tahoma" w:cs="Tahoma"/>
          <w:kern w:val="0"/>
          <w:sz w:val="28"/>
          <w:lang w:val="es-ES" w:eastAsia="es-CO"/>
          <w14:ligatures w14:val="none"/>
        </w:rPr>
      </w:pPr>
    </w:p>
    <w:p w14:paraId="280EC78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El incumplimiento de pagos por parte de los operadores de red representó un riesgo significativo para TRANSELCA, lo que generó incertidumbre financiera y operativa e impactó la planificación y gestión del flujo de caja de la compañía.</w:t>
      </w:r>
    </w:p>
    <w:p w14:paraId="5A08316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75BDCDE"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Evolución </w:t>
      </w:r>
    </w:p>
    <w:p w14:paraId="6A34D6B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81DE873" w14:textId="77777777" w:rsidR="00B61721" w:rsidRPr="00B61721" w:rsidRDefault="00B61721" w:rsidP="00B61721">
      <w:pPr>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En el último año el riesgo de incumplimiento de pagos por parte de los operadores de red aumentó significativamente. Air-e continuó enfrentando complejos problemas financieros y operativos, lo que le impidió cumplir con sus obligaciones financieras y generó un impacto negativo en sus proveedores. En el caso de TRANSELCA, la cartera del cliente creció 93% en comparación con 2023 lo que ocasionó una provisión de cartera por $42.088 millones.</w:t>
      </w:r>
    </w:p>
    <w:p w14:paraId="7E6B3F9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sz w:val="26"/>
          <w:szCs w:val="26"/>
          <w:lang w:val="es-ES" w:eastAsia="es-CO"/>
          <w14:ligatures w14:val="none"/>
        </w:rPr>
        <w:t>Hitos</w:t>
      </w:r>
    </w:p>
    <w:p w14:paraId="73729BED"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ED4D5DA"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lastRenderedPageBreak/>
        <w:t>TRANSELCA logró mantener un crecimiento sostenido mediante la adopción de estrategias que garantizaron los recursos para su operación y el desarrollo de sus planes de inversión, a pesar del incumplimiento de pago por parte de sus clientes. </w:t>
      </w:r>
    </w:p>
    <w:p w14:paraId="161CBE53"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7BE3D7B"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Además, mantuvo contacto constante con la CREG para solicitar la revisión de las garantías del mercado en previsión a una posible suspensión en la limitación del suministro.</w:t>
      </w:r>
    </w:p>
    <w:p w14:paraId="084994E4"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9E1B65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Anticipación</w:t>
      </w:r>
    </w:p>
    <w:p w14:paraId="331BD97B"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E7302EC"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realizó análisis y monitoreo de la situación a través de comunicación constante con todos los actores claves del sector. </w:t>
      </w:r>
    </w:p>
    <w:p w14:paraId="2D43FD44"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2457D1E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Así mismo, realizó proyecciones financieras teniendo en cuenta el impacto de la materialización del riesgo, con el fin de anticiparse en la gestión de la consecución de recursos y la determinación de estrategias que garantizarán la continuidad del negocio.</w:t>
      </w:r>
    </w:p>
    <w:p w14:paraId="581C473C"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FE5AB1A"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Oportunidades</w:t>
      </w:r>
    </w:p>
    <w:p w14:paraId="38E1EA4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DE5538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Económicamente la transición energética impulsó el crecimiento al atraer inversiones en tecnologías limpias y sostenibles. La incursión de TRANSELCA en esta línea de negocio le permitirá diversificar sus ingresos y aumentar su competitividad. </w:t>
      </w:r>
    </w:p>
    <w:p w14:paraId="71C127B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1A1CBB79"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De otra parte, la reducción de la dependencia de combustibles fósiles mejoró la seguridad energética del país y redujo la vulnerabilidad a las fluctuaciones de precios.</w:t>
      </w:r>
    </w:p>
    <w:p w14:paraId="5B50C25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43C2B9E"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Anticipación</w:t>
      </w:r>
    </w:p>
    <w:p w14:paraId="5362261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75C0416"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participó en alianzas y grupos, tanto nacionales como internacionales, donde compartió y discutió información actualizada de las tendencias mundiales en materia energética.</w:t>
      </w:r>
    </w:p>
    <w:p w14:paraId="2015C7FD"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EA60275"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Además, diversificó sus modelos de negocio para incluir servicios de eficiencia energética y soluciones de energía distribuida. En 2024, formó un equipo de trabajo dedicado exclusivamente al desarrollo de este tipo de negocios. Estas acciones le permitieron adaptarse a un mercado en evolución y la posicionaron como líder en la transición hacia un futuro energético más sostenible.</w:t>
      </w:r>
    </w:p>
    <w:p w14:paraId="41B942A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A2F5551" w14:textId="77777777" w:rsidR="00663570" w:rsidRDefault="00663570" w:rsidP="00B61721">
      <w:pPr>
        <w:spacing w:after="0" w:line="240" w:lineRule="auto"/>
        <w:jc w:val="both"/>
        <w:rPr>
          <w:rFonts w:ascii="Tahoma" w:eastAsia="Aptos" w:hAnsi="Tahoma" w:cs="Tahoma"/>
          <w:b/>
          <w:kern w:val="0"/>
          <w:sz w:val="32"/>
          <w:szCs w:val="32"/>
          <w:lang w:val="es-ES" w:eastAsia="es-CO"/>
          <w14:ligatures w14:val="none"/>
        </w:rPr>
      </w:pPr>
    </w:p>
    <w:p w14:paraId="6675536C" w14:textId="77777777" w:rsidR="00663570" w:rsidRDefault="00663570" w:rsidP="00B61721">
      <w:pPr>
        <w:spacing w:after="0" w:line="240" w:lineRule="auto"/>
        <w:jc w:val="both"/>
        <w:rPr>
          <w:rFonts w:ascii="Tahoma" w:eastAsia="Aptos" w:hAnsi="Tahoma" w:cs="Tahoma"/>
          <w:b/>
          <w:kern w:val="0"/>
          <w:sz w:val="32"/>
          <w:szCs w:val="32"/>
          <w:lang w:val="es-ES" w:eastAsia="es-CO"/>
          <w14:ligatures w14:val="none"/>
        </w:rPr>
      </w:pPr>
    </w:p>
    <w:p w14:paraId="7B3E0B8D" w14:textId="34E8EA67" w:rsidR="00B61721" w:rsidRPr="00B61721" w:rsidRDefault="00B61721" w:rsidP="00B61721">
      <w:pPr>
        <w:spacing w:after="0" w:line="240" w:lineRule="auto"/>
        <w:jc w:val="both"/>
        <w:rPr>
          <w:rFonts w:ascii="Tahoma" w:eastAsia="Times New Roman" w:hAnsi="Tahoma" w:cs="Tahoma"/>
          <w:kern w:val="0"/>
          <w:sz w:val="32"/>
          <w:szCs w:val="32"/>
          <w:lang w:val="es-ES" w:eastAsia="es-CO"/>
          <w14:ligatures w14:val="none"/>
        </w:rPr>
      </w:pPr>
      <w:r w:rsidRPr="00B61721">
        <w:rPr>
          <w:rFonts w:ascii="Tahoma" w:eastAsia="Aptos" w:hAnsi="Tahoma" w:cs="Tahoma"/>
          <w:b/>
          <w:kern w:val="0"/>
          <w:sz w:val="32"/>
          <w:szCs w:val="32"/>
          <w:lang w:val="es-ES" w:eastAsia="es-CO"/>
          <w14:ligatures w14:val="none"/>
        </w:rPr>
        <w:lastRenderedPageBreak/>
        <w:t>Metas y objetivos alcanzados</w:t>
      </w:r>
    </w:p>
    <w:p w14:paraId="164E2419"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ECBA0EF"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llevó a cabo una gestión eficiente en los ámbitos contable, presupuestario y tributario cumpliendo con el marco legal y alcanzando los objetivos financieros propuestos por ISA y sus empresas. </w:t>
      </w:r>
    </w:p>
    <w:p w14:paraId="74E9C018"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67B5FAA"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 xml:space="preserve">Al cierre de 2024 la compañía reportó un ebitda de $367.178 millones superando en 5% el de 2023. Así mismo, la utilidad neta alcanzada de $206.032 millones fue mayor en 3% a la del año anterior. </w:t>
      </w:r>
    </w:p>
    <w:p w14:paraId="0611DBD8"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p>
    <w:p w14:paraId="762BB433"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La empresa mantuvo un crecimiento sostenido gracias a estrategias de optimización de costos, eficiencia operativa, gestión de liquidez, financiamiento estratégico y control de gastos. </w:t>
      </w:r>
    </w:p>
    <w:p w14:paraId="05ACF45A"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5726E2DB"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Estas acciones permitieron cumplir metas y fortalecer su posición en el mercado, a pesar del entorno macroeconómico desafiante y las dificultades relacionadas con el recaudo de cartera del cliente Air-e, afectado por problemas operativos y financieros.</w:t>
      </w:r>
    </w:p>
    <w:p w14:paraId="09D9D450"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4B2B1FF"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La compañía obtuvo los recursos financieros necesarios para proyectos de inversión, ambientales y sociales, maximizando la eficiencia en el uso de estos recursos lo cual se reflejó en altos niveles de utilidad y resultados positivos en los indicadores de desempeño.</w:t>
      </w:r>
    </w:p>
    <w:p w14:paraId="56632833"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350A1EF2"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En cuanto a la calificación crediticia, Fitch Ratings de Colombia S.A. ratificó la calificación AAA (Triple A) otorgada a la emisión de bonos que hizo en febrero de 2022, destacando la alta calidad crediticia y la ausencia significativa de riesgos.</w:t>
      </w:r>
    </w:p>
    <w:p w14:paraId="6051EB66"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41C09ED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TRANSELCA registró un crecimiento destacado en el negocio de transmisión de energía con la entrada en operación del proyecto Smart Valves Atlántico y nuevos proyectos de conexión.</w:t>
      </w:r>
    </w:p>
    <w:p w14:paraId="15998DF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3EE74479"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Además, logró avances en la estructuración estratégica de proyectos de inversión remunerada, garantizando resultados confiables y decisiones efectivas para una gestión exitosa.</w:t>
      </w:r>
    </w:p>
    <w:p w14:paraId="493A9B57"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8663A16"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También incursionó en nuevos negocios de energía B2B, posicionándose como un actor relevante en la transición energética.</w:t>
      </w:r>
    </w:p>
    <w:p w14:paraId="34CF43E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E6C833C"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sz w:val="28"/>
          <w:szCs w:val="28"/>
          <w:lang w:val="es-ES" w:eastAsia="es-CO"/>
          <w14:ligatures w14:val="none"/>
        </w:rPr>
        <w:t>Lecciones aprendidas</w:t>
      </w:r>
    </w:p>
    <w:p w14:paraId="73F33C82"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55652B68"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 xml:space="preserve">La Gerencia Financiera identificó y aplicó varias lecciones aprendidas que fortalecieron los procedimientos operativos de la organización. El logro constante de </w:t>
      </w:r>
      <w:r w:rsidRPr="00B61721">
        <w:rPr>
          <w:rFonts w:ascii="Tahoma" w:eastAsia="Aptos" w:hAnsi="Tahoma" w:cs="Tahoma"/>
          <w:kern w:val="0"/>
          <w:lang w:val="es-ES" w:eastAsia="es-CO"/>
          <w14:ligatures w14:val="none"/>
        </w:rPr>
        <w:lastRenderedPageBreak/>
        <w:t>los indicadores financieros estratégicos destacó la relevancia de un monitoreo financiero riguroso, asegurando el cumplimiento de las obligaciones con terceros, como bancos y proveedores. Este enfoque permitió a la compañía mantener la máxima calificación crediticia (AAA) desde 2003.</w:t>
      </w:r>
    </w:p>
    <w:p w14:paraId="253F0914"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E4C050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La elaboración de planes de contingencia fue clave para gestionar de manera óptima el flujo de caja. Estas prácticas incorporadas en los procedimientos operativos consolidaron la gestión financiera y permitió a la empresa prosperar en un entorno empresarial dinámico.</w:t>
      </w:r>
    </w:p>
    <w:p w14:paraId="4568CECE"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0D28DC6"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Roboto" w:hAnsi="Tahoma" w:cs="Tahoma"/>
          <w:b/>
          <w:kern w:val="0"/>
          <w:highlight w:val="white"/>
          <w:lang w:val="es-ES" w:eastAsia="es-CO"/>
          <w14:ligatures w14:val="none"/>
        </w:rPr>
        <w:t>¿Cómo se están aplicando?</w:t>
      </w:r>
    </w:p>
    <w:p w14:paraId="0895D613"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7425504"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 xml:space="preserve">La implementación de un monitoreo financiero riguroso fortaleció la transparencia en las operaciones financieras, lo que resultó en informes más claros y detallados para los grupos de interés, incrementando la confianza y credibilidad de la empresa. </w:t>
      </w:r>
    </w:p>
    <w:p w14:paraId="46C46A8C"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p>
    <w:p w14:paraId="78384C8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El cumplimiento constante de las obligaciones con terceros mejoró las relaciones con bancos y proveedores, ya que el cumplimiento puntual de pagos y acuerdos consolidó una reputación de fiabilidad y responsabilidad.</w:t>
      </w:r>
    </w:p>
    <w:p w14:paraId="22DBF44A"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B378549"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El aumento en los ingresos generados por nuevos proyectos evidenció el compromiso de la empresa con la innovación y la sostenibilidad, atrayendo a nuevos inversores interesados en iniciativas sostenibles y fortaleciendo las relaciones con los actuales al demostrar una visión estratégica a largo plazo.</w:t>
      </w:r>
    </w:p>
    <w:p w14:paraId="4C012985"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63A2B1A6"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r w:rsidRPr="00B61721">
        <w:rPr>
          <w:rFonts w:ascii="Tahoma" w:eastAsia="Aptos" w:hAnsi="Tahoma" w:cs="Tahoma"/>
          <w:kern w:val="0"/>
          <w:lang w:val="es-ES" w:eastAsia="es-CO"/>
          <w14:ligatures w14:val="none"/>
        </w:rPr>
        <w:t xml:space="preserve">Adicionalmente, la elaboración de planes de contingencia y el seguimiento de matrices de riesgo incrementaron la capacidad de la empresa para gestionar riesgos y afrontar situaciones imprevistas, lo que brindó mayor seguridad a los grupos de interés, quienes percibieron a la organización como resiliente y preparada. </w:t>
      </w:r>
    </w:p>
    <w:p w14:paraId="73862171" w14:textId="77777777" w:rsidR="00B61721" w:rsidRPr="00B61721" w:rsidRDefault="00B61721" w:rsidP="00B61721">
      <w:pPr>
        <w:spacing w:after="0" w:line="240" w:lineRule="auto"/>
        <w:jc w:val="both"/>
        <w:rPr>
          <w:rFonts w:ascii="Tahoma" w:eastAsia="Aptos" w:hAnsi="Tahoma" w:cs="Tahoma"/>
          <w:kern w:val="0"/>
          <w:lang w:val="es-ES" w:eastAsia="es-CO"/>
          <w14:ligatures w14:val="none"/>
        </w:rPr>
      </w:pPr>
    </w:p>
    <w:p w14:paraId="7BBDDAB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Estas medidas consolidaron el apoyo continuo y la confianza de los grupos de interés en la capacidad de la empresa para adaptarse y cumplir con sus compromisos en un entorno dinámico.</w:t>
      </w:r>
    </w:p>
    <w:p w14:paraId="3D7CA99F"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72841E70"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Innovaciones</w:t>
      </w:r>
    </w:p>
    <w:p w14:paraId="51909B2F"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339E3484"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kern w:val="0"/>
          <w:lang w:val="es-ES" w:eastAsia="es-CO"/>
          <w14:ligatures w14:val="none"/>
        </w:rPr>
        <w:t>El Modelo de Rentabilidad y Costos que se implementó en 2024 permitió gestionar la información de manera más estratégica e integrada. Este modelo fortaleció el cumplimiento regulatorio, facilitó la toma de decisiones basadas en el ciclo de vida de los activos y estandarizó la práctica de información financiera y de costos en el negocio de energía.</w:t>
      </w:r>
    </w:p>
    <w:p w14:paraId="575168A5" w14:textId="77777777" w:rsidR="00B61721" w:rsidRDefault="00B61721" w:rsidP="00B61721">
      <w:pPr>
        <w:spacing w:after="0" w:line="240" w:lineRule="auto"/>
        <w:rPr>
          <w:rFonts w:ascii="Tahoma" w:eastAsia="Times New Roman" w:hAnsi="Tahoma" w:cs="Tahoma"/>
          <w:kern w:val="0"/>
          <w:lang w:val="es-ES" w:eastAsia="es-CO"/>
          <w14:ligatures w14:val="none"/>
        </w:rPr>
      </w:pPr>
    </w:p>
    <w:p w14:paraId="7FDA2D5E" w14:textId="77777777" w:rsidR="005A561F" w:rsidRPr="00B61721" w:rsidRDefault="005A561F" w:rsidP="00B61721">
      <w:pPr>
        <w:spacing w:after="0" w:line="240" w:lineRule="auto"/>
        <w:rPr>
          <w:rFonts w:ascii="Tahoma" w:eastAsia="Times New Roman" w:hAnsi="Tahoma" w:cs="Tahoma"/>
          <w:kern w:val="0"/>
          <w:lang w:val="es-ES" w:eastAsia="es-CO"/>
          <w14:ligatures w14:val="none"/>
        </w:rPr>
      </w:pPr>
    </w:p>
    <w:p w14:paraId="692860B9"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lastRenderedPageBreak/>
        <w:t>Comunicación con los grupos de interés</w:t>
      </w:r>
    </w:p>
    <w:p w14:paraId="4D1390CB"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2A691B1"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 xml:space="preserve">Accionistas: </w:t>
      </w:r>
      <w:r w:rsidRPr="00B61721">
        <w:rPr>
          <w:rFonts w:ascii="Tahoma" w:eastAsia="Aptos" w:hAnsi="Tahoma" w:cs="Tahoma"/>
          <w:kern w:val="0"/>
          <w:lang w:val="es-ES" w:eastAsia="es-CO"/>
          <w14:ligatures w14:val="none"/>
        </w:rPr>
        <w:t>La Gerencia Financiera informó oportunamente a la Junta Directiva de las situaciones con impacto en las funciones de la empresa, mediante reuniones periódicas realizadas durante el año.</w:t>
      </w:r>
    </w:p>
    <w:p w14:paraId="4B2FF3E3"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9AC3B57"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 xml:space="preserve">Colaboradores: </w:t>
      </w:r>
      <w:r w:rsidRPr="00B61721">
        <w:rPr>
          <w:rFonts w:ascii="Tahoma" w:eastAsia="Aptos" w:hAnsi="Tahoma" w:cs="Tahoma"/>
          <w:kern w:val="0"/>
          <w:lang w:val="es-ES" w:eastAsia="es-CO"/>
          <w14:ligatures w14:val="none"/>
        </w:rPr>
        <w:t>Trimestralmente las gerencias de TRANSELCA presentaron informes detallados a los colaboradores destacando avances y principales indicadores de la empresa.</w:t>
      </w:r>
    </w:p>
    <w:p w14:paraId="2F6D23FE" w14:textId="77777777" w:rsidR="00B61721" w:rsidRPr="00B61721" w:rsidRDefault="00B61721" w:rsidP="00B61721">
      <w:pPr>
        <w:spacing w:after="0" w:line="240" w:lineRule="auto"/>
        <w:rPr>
          <w:rFonts w:ascii="Tahoma" w:eastAsia="Times New Roman" w:hAnsi="Tahoma" w:cs="Tahoma"/>
          <w:kern w:val="0"/>
          <w:lang w:val="es-ES" w:eastAsia="es-CO"/>
          <w14:ligatures w14:val="none"/>
        </w:rPr>
      </w:pPr>
    </w:p>
    <w:p w14:paraId="090A8146" w14:textId="77777777" w:rsidR="00B61721" w:rsidRPr="00B61721" w:rsidRDefault="00B61721" w:rsidP="00B61721">
      <w:pPr>
        <w:spacing w:after="0" w:line="240" w:lineRule="auto"/>
        <w:jc w:val="both"/>
        <w:rPr>
          <w:rFonts w:ascii="Tahoma" w:eastAsia="Times New Roman" w:hAnsi="Tahoma" w:cs="Tahoma"/>
          <w:kern w:val="0"/>
          <w:lang w:val="es-ES" w:eastAsia="es-CO"/>
          <w14:ligatures w14:val="none"/>
        </w:rPr>
      </w:pPr>
      <w:r w:rsidRPr="00B61721">
        <w:rPr>
          <w:rFonts w:ascii="Tahoma" w:eastAsia="Aptos" w:hAnsi="Tahoma" w:cs="Tahoma"/>
          <w:b/>
          <w:kern w:val="0"/>
          <w:lang w:val="es-ES" w:eastAsia="es-CO"/>
          <w14:ligatures w14:val="none"/>
        </w:rPr>
        <w:t>Clientes y proveedores:</w:t>
      </w:r>
      <w:r w:rsidRPr="00B61721">
        <w:rPr>
          <w:rFonts w:ascii="Tahoma" w:eastAsia="Aptos" w:hAnsi="Tahoma" w:cs="Tahoma"/>
          <w:kern w:val="0"/>
          <w:lang w:val="es-ES" w:eastAsia="es-CO"/>
          <w14:ligatures w14:val="none"/>
        </w:rPr>
        <w:t xml:space="preserve"> A través de reuniones periódicas organizadas con el equipo del Centro de Servicios Compartidos se presentaron resultados y gestionaron los temas relevantes de cada mes, fomentando una comunicación efectiva con estos grupos.</w:t>
      </w:r>
    </w:p>
    <w:p w14:paraId="730DFE2B" w14:textId="77777777" w:rsidR="00B61721" w:rsidRPr="00B61721" w:rsidRDefault="00B61721" w:rsidP="00B61721">
      <w:pPr>
        <w:rPr>
          <w:rFonts w:ascii="Tahoma" w:eastAsia="Aptos" w:hAnsi="Tahoma" w:cs="Tahoma"/>
          <w:kern w:val="0"/>
          <w:lang w:val="es-ES" w:eastAsia="es-CO"/>
          <w14:ligatures w14:val="none"/>
        </w:rPr>
      </w:pPr>
      <w:r w:rsidRPr="00B61721">
        <w:rPr>
          <w:rFonts w:ascii="Tahoma" w:eastAsia="Times New Roman" w:hAnsi="Tahoma" w:cs="Tahoma"/>
          <w:kern w:val="0"/>
          <w:lang w:val="es-ES" w:eastAsia="es-CO"/>
          <w14:ligatures w14:val="none"/>
        </w:rPr>
        <w:br/>
      </w:r>
      <w:r w:rsidRPr="00B61721">
        <w:rPr>
          <w:rFonts w:ascii="Tahoma" w:eastAsia="Aptos" w:hAnsi="Tahoma" w:cs="Tahoma"/>
          <w:b/>
          <w:kern w:val="0"/>
          <w:lang w:val="es-ES" w:eastAsia="es-CO"/>
          <w14:ligatures w14:val="none"/>
        </w:rPr>
        <w:t xml:space="preserve">Sector financiero: </w:t>
      </w:r>
      <w:r w:rsidRPr="00B61721">
        <w:rPr>
          <w:rFonts w:ascii="Tahoma" w:eastAsia="Aptos" w:hAnsi="Tahoma" w:cs="Tahoma"/>
          <w:kern w:val="0"/>
          <w:lang w:val="es-ES" w:eastAsia="es-CO"/>
          <w14:ligatures w14:val="none"/>
        </w:rPr>
        <w:t>Se mantuvo un contacto constante con los agentes del sector financiero mediante reuniones, llamadas e intercambios regulares de información con lo cual se garantizan relaciones sólidas y transparentes.</w:t>
      </w:r>
    </w:p>
    <w:p w14:paraId="12E9877B" w14:textId="7ADCAA1C" w:rsidR="0031711E" w:rsidRDefault="0031711E">
      <w:pPr>
        <w:rPr>
          <w:rFonts w:ascii="Calibri" w:hAnsi="Calibri" w:cs="Calibri"/>
          <w:sz w:val="52"/>
          <w:szCs w:val="52"/>
          <w:lang w:val="es-ES"/>
        </w:rPr>
      </w:pPr>
    </w:p>
    <w:p w14:paraId="704EA305" w14:textId="286B3B77" w:rsidR="0031711E" w:rsidRDefault="0031711E">
      <w:pPr>
        <w:rPr>
          <w:rFonts w:ascii="Calibri" w:hAnsi="Calibri" w:cs="Calibri"/>
          <w:sz w:val="52"/>
          <w:szCs w:val="52"/>
          <w:lang w:val="es-ES"/>
        </w:rPr>
      </w:pPr>
    </w:p>
    <w:p w14:paraId="3293408F" w14:textId="77777777" w:rsidR="00D60911" w:rsidRDefault="00D60911">
      <w:pPr>
        <w:rPr>
          <w:rFonts w:ascii="Calibri" w:hAnsi="Calibri" w:cs="Calibri"/>
          <w:sz w:val="52"/>
          <w:szCs w:val="52"/>
          <w:lang w:val="es-ES"/>
        </w:rPr>
      </w:pPr>
    </w:p>
    <w:p w14:paraId="367C7F49" w14:textId="77777777" w:rsidR="00D60911" w:rsidRDefault="00D60911">
      <w:pPr>
        <w:rPr>
          <w:rFonts w:ascii="Calibri" w:hAnsi="Calibri" w:cs="Calibri"/>
          <w:sz w:val="52"/>
          <w:szCs w:val="52"/>
          <w:lang w:val="es-ES"/>
        </w:rPr>
      </w:pPr>
    </w:p>
    <w:p w14:paraId="5EF4C810" w14:textId="77777777" w:rsidR="00D60911" w:rsidRDefault="00D60911">
      <w:pPr>
        <w:rPr>
          <w:rFonts w:ascii="Calibri" w:hAnsi="Calibri" w:cs="Calibri"/>
          <w:sz w:val="52"/>
          <w:szCs w:val="52"/>
          <w:lang w:val="es-ES"/>
        </w:rPr>
      </w:pPr>
    </w:p>
    <w:p w14:paraId="2CE5F1BC" w14:textId="77777777" w:rsidR="00D60911" w:rsidRDefault="00D60911">
      <w:pPr>
        <w:rPr>
          <w:rFonts w:ascii="Calibri" w:hAnsi="Calibri" w:cs="Calibri"/>
          <w:sz w:val="52"/>
          <w:szCs w:val="52"/>
          <w:lang w:val="es-ES"/>
        </w:rPr>
      </w:pPr>
    </w:p>
    <w:p w14:paraId="69DE218F" w14:textId="77777777" w:rsidR="00D60911" w:rsidRDefault="00D60911">
      <w:pPr>
        <w:rPr>
          <w:rFonts w:ascii="Calibri" w:hAnsi="Calibri" w:cs="Calibri"/>
          <w:sz w:val="52"/>
          <w:szCs w:val="52"/>
          <w:lang w:val="es-ES"/>
        </w:rPr>
      </w:pPr>
    </w:p>
    <w:p w14:paraId="02689DF3" w14:textId="77777777" w:rsidR="00D60911" w:rsidRDefault="00D60911">
      <w:pPr>
        <w:rPr>
          <w:rFonts w:ascii="Calibri" w:hAnsi="Calibri" w:cs="Calibri"/>
          <w:sz w:val="52"/>
          <w:szCs w:val="52"/>
          <w:lang w:val="es-ES"/>
        </w:rPr>
      </w:pPr>
    </w:p>
    <w:p w14:paraId="3D530485" w14:textId="77777777" w:rsidR="00D60911" w:rsidRPr="00D60911" w:rsidRDefault="00D60911" w:rsidP="00D60911">
      <w:pPr>
        <w:jc w:val="both"/>
        <w:rPr>
          <w:rFonts w:ascii="Tahoma" w:hAnsi="Tahoma" w:cs="Tahoma"/>
          <w:color w:val="0070C0"/>
          <w:sz w:val="40"/>
          <w:szCs w:val="40"/>
        </w:rPr>
      </w:pPr>
      <w:r w:rsidRPr="00D60911">
        <w:rPr>
          <w:rFonts w:ascii="Tahoma" w:hAnsi="Tahoma" w:cs="Tahoma"/>
          <w:b/>
          <w:bCs/>
          <w:color w:val="0070C0"/>
          <w:sz w:val="40"/>
          <w:szCs w:val="40"/>
        </w:rPr>
        <w:lastRenderedPageBreak/>
        <w:t>Estrategia adecuada de crecimiento</w:t>
      </w:r>
    </w:p>
    <w:p w14:paraId="34E14466" w14:textId="77777777" w:rsidR="00D60911" w:rsidRPr="009E0C83" w:rsidRDefault="00D60911" w:rsidP="00D60911">
      <w:pPr>
        <w:jc w:val="both"/>
        <w:rPr>
          <w:rFonts w:ascii="Tahoma" w:hAnsi="Tahoma" w:cs="Tahoma"/>
        </w:rPr>
      </w:pPr>
    </w:p>
    <w:p w14:paraId="4109CDFA" w14:textId="77777777" w:rsidR="00D60911" w:rsidRPr="009E0C83" w:rsidRDefault="00D60911" w:rsidP="00D60911">
      <w:pPr>
        <w:jc w:val="both"/>
        <w:rPr>
          <w:rFonts w:ascii="Tahoma" w:hAnsi="Tahoma" w:cs="Tahoma"/>
        </w:rPr>
      </w:pPr>
      <w:r w:rsidRPr="009E0C83">
        <w:rPr>
          <w:rFonts w:ascii="Tahoma" w:hAnsi="Tahoma" w:cs="Tahoma"/>
          <w:b/>
          <w:bCs/>
        </w:rPr>
        <w:t>Dimensión:</w:t>
      </w:r>
      <w:r w:rsidRPr="009E0C83">
        <w:rPr>
          <w:rFonts w:ascii="Tahoma" w:hAnsi="Tahoma" w:cs="Tahoma"/>
        </w:rPr>
        <w:t xml:space="preserve"> Solidez y crecimiento</w:t>
      </w:r>
    </w:p>
    <w:p w14:paraId="302FD041" w14:textId="77777777" w:rsidR="00D60911" w:rsidRDefault="00D60911" w:rsidP="00D60911">
      <w:pPr>
        <w:jc w:val="both"/>
        <w:rPr>
          <w:rFonts w:ascii="Tahoma" w:hAnsi="Tahoma" w:cs="Tahoma"/>
          <w:b/>
          <w:bCs/>
        </w:rPr>
      </w:pPr>
      <w:r w:rsidRPr="009E0C83">
        <w:rPr>
          <w:rFonts w:ascii="Tahoma" w:hAnsi="Tahoma" w:cs="Tahoma"/>
          <w:b/>
          <w:bCs/>
        </w:rPr>
        <w:t>ODS: </w:t>
      </w:r>
      <w:r w:rsidRPr="008530DC">
        <w:rPr>
          <w:rFonts w:ascii="Tahoma" w:hAnsi="Tahoma" w:cs="Tahoma"/>
          <w:b/>
          <w:bCs/>
        </w:rPr>
        <w:t>7, 9, 11</w:t>
      </w:r>
    </w:p>
    <w:p w14:paraId="35551EB0" w14:textId="77777777" w:rsidR="00D60911" w:rsidRPr="009E0C83" w:rsidRDefault="00D60911" w:rsidP="00D60911">
      <w:pPr>
        <w:jc w:val="both"/>
        <w:rPr>
          <w:rFonts w:ascii="Tahoma" w:hAnsi="Tahoma" w:cs="Tahoma"/>
        </w:rPr>
      </w:pPr>
      <w:r>
        <w:rPr>
          <w:rFonts w:ascii="Tahoma" w:hAnsi="Tahoma" w:cs="Tahoma"/>
          <w:b/>
          <w:bCs/>
        </w:rPr>
        <w:t xml:space="preserve">Grupos de Interés: </w:t>
      </w:r>
      <w:r w:rsidRPr="00D00D31">
        <w:rPr>
          <w:rFonts w:ascii="Tahoma" w:hAnsi="Tahoma" w:cs="Tahoma"/>
        </w:rPr>
        <w:t>Accionistas e inversionistas y Estados</w:t>
      </w:r>
    </w:p>
    <w:p w14:paraId="1D870DF2" w14:textId="77777777" w:rsidR="00D60911" w:rsidRPr="00D60911" w:rsidRDefault="00D60911" w:rsidP="00D60911">
      <w:pPr>
        <w:jc w:val="both"/>
        <w:rPr>
          <w:rFonts w:ascii="Tahoma" w:hAnsi="Tahoma" w:cs="Tahoma"/>
        </w:rPr>
      </w:pPr>
    </w:p>
    <w:p w14:paraId="612EC5BE" w14:textId="77777777" w:rsidR="00D60911" w:rsidRPr="00D60911" w:rsidRDefault="00D60911" w:rsidP="00D60911">
      <w:pPr>
        <w:jc w:val="both"/>
        <w:rPr>
          <w:rFonts w:ascii="Tahoma" w:hAnsi="Tahoma" w:cs="Tahoma"/>
          <w:sz w:val="36"/>
          <w:szCs w:val="36"/>
        </w:rPr>
      </w:pPr>
      <w:r w:rsidRPr="00D60911">
        <w:rPr>
          <w:rFonts w:ascii="Tahoma" w:hAnsi="Tahoma" w:cs="Tahoma"/>
          <w:b/>
          <w:bCs/>
          <w:sz w:val="36"/>
          <w:szCs w:val="36"/>
        </w:rPr>
        <w:t>Gestión del asunto material</w:t>
      </w:r>
    </w:p>
    <w:p w14:paraId="5A64F924" w14:textId="77777777" w:rsidR="00D60911" w:rsidRPr="009E0C83" w:rsidRDefault="00D60911" w:rsidP="00D60911">
      <w:pPr>
        <w:jc w:val="both"/>
        <w:rPr>
          <w:rFonts w:ascii="Tahoma" w:hAnsi="Tahoma" w:cs="Tahoma"/>
        </w:rPr>
      </w:pPr>
      <w:r w:rsidRPr="009E0C83">
        <w:rPr>
          <w:rFonts w:ascii="Tahoma" w:hAnsi="Tahoma" w:cs="Tahoma"/>
        </w:rPr>
        <w:t>Este asunto material está guiado por la estrategia ISA 2030 la cual propone un Crecimiento con Valor Sostenible. Esto quiere decir que TRANSELCA traza sus metas económicas de tal manera que generen valor para todos sus grupos de interés. Para ello, diseña un portafolio de negocios adyacentes y diversificado en diferentes geografías teniendo en cuenta los retos del contexto actual y futuro. </w:t>
      </w:r>
    </w:p>
    <w:p w14:paraId="6EB6C23A" w14:textId="77777777" w:rsidR="00D60911" w:rsidRPr="009E0C83" w:rsidRDefault="00D60911" w:rsidP="00D60911">
      <w:pPr>
        <w:jc w:val="both"/>
        <w:rPr>
          <w:rFonts w:ascii="Tahoma" w:hAnsi="Tahoma" w:cs="Tahoma"/>
        </w:rPr>
      </w:pPr>
      <w:r w:rsidRPr="009E0C83">
        <w:rPr>
          <w:rFonts w:ascii="Tahoma" w:hAnsi="Tahoma" w:cs="Tahoma"/>
        </w:rPr>
        <w:t>La gestión de este asunto inicia con el seguimiento oportuno a las tendencias y posibilidades que se generan en el sector, evaluando la mayor viabilidad económica, los impactos sociales y ambientales, identificando las oportunidades y los riesgos desde el punto de vista económico, social y ambiental.</w:t>
      </w:r>
    </w:p>
    <w:p w14:paraId="3FFA5094" w14:textId="77777777" w:rsidR="00D60911" w:rsidRPr="00D60911" w:rsidRDefault="00D60911" w:rsidP="00D60911">
      <w:pPr>
        <w:jc w:val="both"/>
        <w:rPr>
          <w:rFonts w:ascii="Tahoma" w:hAnsi="Tahoma" w:cs="Tahoma"/>
        </w:rPr>
      </w:pPr>
      <w:bookmarkStart w:id="11" w:name="_Hlk190416067"/>
      <w:r w:rsidRPr="00D60911">
        <w:rPr>
          <w:rFonts w:ascii="Tahoma" w:hAnsi="Tahoma" w:cs="Tahoma"/>
        </w:rPr>
        <w:t>Asimismo, busca contribuir a los objetivos nacionales de apalancar la transición energética del país, aportar al objetivo estratégico de invertir USD 2.000 millones en nuevos negocios de energía eléctrica y ampliar la capacidad de transformación de energía de alta tensión para los colombianos</w:t>
      </w:r>
      <w:bookmarkEnd w:id="11"/>
      <w:r w:rsidRPr="00D60911">
        <w:rPr>
          <w:rFonts w:ascii="Tahoma" w:hAnsi="Tahoma" w:cs="Tahoma"/>
        </w:rPr>
        <w:t>.</w:t>
      </w:r>
    </w:p>
    <w:p w14:paraId="00F20DDE" w14:textId="77777777" w:rsidR="00D60911" w:rsidRPr="00D60911" w:rsidRDefault="00D60911" w:rsidP="00D60911">
      <w:pPr>
        <w:jc w:val="both"/>
        <w:rPr>
          <w:rFonts w:ascii="Tahoma" w:hAnsi="Tahoma" w:cs="Tahoma"/>
          <w:sz w:val="36"/>
          <w:szCs w:val="36"/>
        </w:rPr>
      </w:pPr>
      <w:r w:rsidRPr="00D60911">
        <w:rPr>
          <w:rFonts w:ascii="Tahoma" w:hAnsi="Tahoma" w:cs="Tahoma"/>
          <w:b/>
          <w:bCs/>
          <w:sz w:val="36"/>
          <w:szCs w:val="36"/>
        </w:rPr>
        <w:t>Impactos positivos</w:t>
      </w:r>
    </w:p>
    <w:p w14:paraId="610AB7CB" w14:textId="77777777" w:rsidR="00D60911" w:rsidRPr="009E0C83" w:rsidRDefault="00D60911" w:rsidP="00D60911">
      <w:pPr>
        <w:jc w:val="both"/>
        <w:rPr>
          <w:rFonts w:ascii="Tahoma" w:hAnsi="Tahoma" w:cs="Tahoma"/>
        </w:rPr>
      </w:pPr>
      <w:r w:rsidRPr="00D60911">
        <w:rPr>
          <w:rFonts w:ascii="Tahoma" w:hAnsi="Tahoma" w:cs="Tahoma"/>
        </w:rPr>
        <w:t>A continuación, se describen las actividades y proyectos que nutrieron este asunto material, así como sus impactos positivos, los posibles riesgos de impactos negativos, cómo se gestionaron</w:t>
      </w:r>
      <w:r w:rsidRPr="009E0C83">
        <w:rPr>
          <w:rFonts w:ascii="Tahoma" w:hAnsi="Tahoma" w:cs="Tahoma"/>
        </w:rPr>
        <w:t xml:space="preserve"> y las principales metas y objetivos alcanzados:</w:t>
      </w:r>
    </w:p>
    <w:p w14:paraId="7339BEC9" w14:textId="77777777" w:rsidR="00D60911" w:rsidRPr="00DF26FA" w:rsidRDefault="00D60911" w:rsidP="00164509">
      <w:pPr>
        <w:pStyle w:val="Prrafodelista"/>
        <w:numPr>
          <w:ilvl w:val="0"/>
          <w:numId w:val="164"/>
        </w:numPr>
        <w:jc w:val="both"/>
        <w:rPr>
          <w:rFonts w:ascii="Tahoma" w:hAnsi="Tahoma" w:cs="Tahoma"/>
        </w:rPr>
      </w:pPr>
      <w:r w:rsidRPr="00DF26FA">
        <w:rPr>
          <w:rFonts w:ascii="Tahoma" w:hAnsi="Tahoma" w:cs="Tahoma"/>
          <w:b/>
          <w:bCs/>
        </w:rPr>
        <w:t xml:space="preserve">Creación de nueva línea de negocio en Soluciones Energéticas Distribuidas </w:t>
      </w:r>
      <w:r>
        <w:rPr>
          <w:rFonts w:ascii="Tahoma" w:hAnsi="Tahoma" w:cs="Tahoma"/>
          <w:b/>
          <w:bCs/>
        </w:rPr>
        <w:t>(</w:t>
      </w:r>
      <w:r w:rsidRPr="00D60911">
        <w:rPr>
          <w:rFonts w:ascii="Tahoma" w:hAnsi="Tahoma" w:cs="Tahoma"/>
          <w:b/>
          <w:bCs/>
        </w:rPr>
        <w:t xml:space="preserve">SED) que contribuye </w:t>
      </w:r>
      <w:r w:rsidRPr="00D60911">
        <w:rPr>
          <w:rFonts w:ascii="Tahoma" w:hAnsi="Tahoma" w:cs="Tahoma"/>
        </w:rPr>
        <w:t>apalancar la transición energética del país y aportar al objetivo estratégico de invertir en nuevos negocios de energía eléctrica.</w:t>
      </w:r>
    </w:p>
    <w:p w14:paraId="09591ABC" w14:textId="77777777" w:rsidR="00D60911" w:rsidRPr="009E0C83" w:rsidRDefault="00D60911" w:rsidP="00D60911">
      <w:pPr>
        <w:jc w:val="both"/>
        <w:rPr>
          <w:rFonts w:ascii="Tahoma" w:hAnsi="Tahoma" w:cs="Tahoma"/>
        </w:rPr>
      </w:pPr>
      <w:r w:rsidRPr="009E0C83">
        <w:rPr>
          <w:rFonts w:ascii="Tahoma" w:hAnsi="Tahoma" w:cs="Tahoma"/>
          <w:b/>
          <w:bCs/>
        </w:rPr>
        <w:t>Impactos positivos:</w:t>
      </w:r>
    </w:p>
    <w:tbl>
      <w:tblPr>
        <w:tblW w:w="8504" w:type="dxa"/>
        <w:tblCellMar>
          <w:top w:w="15" w:type="dxa"/>
          <w:left w:w="15" w:type="dxa"/>
          <w:bottom w:w="15" w:type="dxa"/>
          <w:right w:w="15" w:type="dxa"/>
        </w:tblCellMar>
        <w:tblLook w:val="04A0" w:firstRow="1" w:lastRow="0" w:firstColumn="1" w:lastColumn="0" w:noHBand="0" w:noVBand="1"/>
      </w:tblPr>
      <w:tblGrid>
        <w:gridCol w:w="3151"/>
        <w:gridCol w:w="3003"/>
        <w:gridCol w:w="2350"/>
      </w:tblGrid>
      <w:tr w:rsidR="00D60911" w:rsidRPr="009E0C83" w14:paraId="1F0C29C7"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35F8F" w14:textId="77777777" w:rsidR="00D60911" w:rsidRPr="009E0C83" w:rsidRDefault="00D60911" w:rsidP="002F67B3">
            <w:pPr>
              <w:jc w:val="both"/>
              <w:rPr>
                <w:rFonts w:ascii="Tahoma" w:hAnsi="Tahoma" w:cs="Tahoma"/>
              </w:rPr>
            </w:pPr>
            <w:r w:rsidRPr="009E0C83">
              <w:rPr>
                <w:rFonts w:ascii="Tahoma" w:hAnsi="Tahoma" w:cs="Tahoma"/>
                <w:b/>
                <w:bCs/>
              </w:rPr>
              <w:lastRenderedPageBreak/>
              <w:t>Medio ambiente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55D2CF" w14:textId="77777777" w:rsidR="00D60911" w:rsidRPr="009E0C83" w:rsidRDefault="00D60911" w:rsidP="002F67B3">
            <w:pPr>
              <w:jc w:val="both"/>
              <w:rPr>
                <w:rFonts w:ascii="Tahoma" w:hAnsi="Tahoma" w:cs="Tahoma"/>
              </w:rPr>
            </w:pPr>
            <w:r w:rsidRPr="009E0C83">
              <w:rPr>
                <w:rFonts w:ascii="Tahoma" w:hAnsi="Tahoma" w:cs="Tahoma"/>
                <w:b/>
                <w:bCs/>
              </w:rPr>
              <w:t>Personas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50B38" w14:textId="77777777" w:rsidR="00D60911" w:rsidRPr="009E0C83" w:rsidRDefault="00D60911" w:rsidP="002F67B3">
            <w:pPr>
              <w:jc w:val="both"/>
              <w:rPr>
                <w:rFonts w:ascii="Tahoma" w:hAnsi="Tahoma" w:cs="Tahoma"/>
              </w:rPr>
            </w:pPr>
            <w:r w:rsidRPr="009E0C83">
              <w:rPr>
                <w:rFonts w:ascii="Tahoma" w:hAnsi="Tahoma" w:cs="Tahoma"/>
                <w:b/>
                <w:bCs/>
              </w:rPr>
              <w:t>Economía</w:t>
            </w:r>
          </w:p>
        </w:tc>
      </w:tr>
      <w:tr w:rsidR="00D60911" w:rsidRPr="009E0C83" w14:paraId="5696467F"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B873E" w14:textId="77777777" w:rsidR="00D60911" w:rsidRPr="009E0C83" w:rsidRDefault="00D60911" w:rsidP="002F67B3">
            <w:pPr>
              <w:jc w:val="both"/>
              <w:rPr>
                <w:rFonts w:ascii="Tahoma" w:hAnsi="Tahoma" w:cs="Tahoma"/>
              </w:rPr>
            </w:pPr>
            <w:r w:rsidRPr="009E0C83">
              <w:rPr>
                <w:rFonts w:ascii="Tahoma" w:hAnsi="Tahoma" w:cs="Tahoma"/>
              </w:rPr>
              <w:t>Producción de Créditos de Carbono y Certificados de Energía Renovables – RECs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702818" w14:textId="77777777" w:rsidR="00D60911" w:rsidRPr="009E0C83" w:rsidRDefault="00D60911" w:rsidP="002F67B3">
            <w:pPr>
              <w:jc w:val="both"/>
              <w:rPr>
                <w:rFonts w:ascii="Tahoma" w:hAnsi="Tahoma" w:cs="Tahoma"/>
              </w:rPr>
            </w:pPr>
            <w:r w:rsidRPr="009E0C83">
              <w:rPr>
                <w:rFonts w:ascii="Tahoma" w:hAnsi="Tahoma" w:cs="Tahoma"/>
              </w:rPr>
              <w:t>Se amplió la planta de personal mediante la contratación de 9 personas.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BF0100" w14:textId="77777777" w:rsidR="00D60911" w:rsidRPr="009E0C83" w:rsidRDefault="00D60911" w:rsidP="002F67B3">
            <w:pPr>
              <w:jc w:val="both"/>
              <w:rPr>
                <w:rFonts w:ascii="Tahoma" w:hAnsi="Tahoma" w:cs="Tahoma"/>
              </w:rPr>
            </w:pPr>
            <w:r w:rsidRPr="009E0C83">
              <w:rPr>
                <w:rFonts w:ascii="Tahoma" w:hAnsi="Tahoma" w:cs="Tahoma"/>
              </w:rPr>
              <w:t>Nuevas inversiones que generen ingresos futuros.</w:t>
            </w:r>
          </w:p>
        </w:tc>
      </w:tr>
    </w:tbl>
    <w:p w14:paraId="5E1B6CBF" w14:textId="77777777" w:rsidR="00D60911" w:rsidRPr="009E0C83" w:rsidRDefault="00D60911" w:rsidP="00D60911">
      <w:pPr>
        <w:jc w:val="both"/>
        <w:rPr>
          <w:rFonts w:ascii="Tahoma" w:hAnsi="Tahoma" w:cs="Tahoma"/>
        </w:rPr>
      </w:pPr>
    </w:p>
    <w:p w14:paraId="5D27C9D4" w14:textId="77777777" w:rsidR="00D60911" w:rsidRPr="009E0C83" w:rsidRDefault="00D60911" w:rsidP="00D60911">
      <w:pPr>
        <w:jc w:val="both"/>
        <w:rPr>
          <w:rFonts w:ascii="Tahoma" w:hAnsi="Tahoma" w:cs="Tahoma"/>
        </w:rPr>
      </w:pPr>
      <w:r w:rsidRPr="009E0C83">
        <w:rPr>
          <w:rFonts w:ascii="Tahoma" w:hAnsi="Tahoma" w:cs="Tahoma"/>
          <w:b/>
          <w:bCs/>
        </w:rPr>
        <w:t>Evolución:</w:t>
      </w:r>
    </w:p>
    <w:p w14:paraId="5A76C02D" w14:textId="77777777" w:rsidR="00D60911" w:rsidRPr="009E0C83" w:rsidRDefault="00D60911" w:rsidP="00D60911">
      <w:pPr>
        <w:jc w:val="both"/>
        <w:rPr>
          <w:rFonts w:ascii="Tahoma" w:hAnsi="Tahoma" w:cs="Tahoma"/>
        </w:rPr>
      </w:pPr>
      <w:r w:rsidRPr="009E0C83">
        <w:rPr>
          <w:rFonts w:ascii="Tahoma" w:hAnsi="Tahoma" w:cs="Tahoma"/>
        </w:rPr>
        <w:t xml:space="preserve">La creación de la nueva línea de negocio </w:t>
      </w:r>
      <w:r>
        <w:rPr>
          <w:rFonts w:ascii="Tahoma" w:hAnsi="Tahoma" w:cs="Tahoma"/>
        </w:rPr>
        <w:t xml:space="preserve">Sistemas Energéticos Distribuidos </w:t>
      </w:r>
      <w:r w:rsidRPr="009E0C83">
        <w:rPr>
          <w:rFonts w:ascii="Tahoma" w:hAnsi="Tahoma" w:cs="Tahoma"/>
        </w:rPr>
        <w:t>ha generado cambios en diferentes áreas para adaptarse al proceso y necesidades</w:t>
      </w:r>
      <w:r>
        <w:rPr>
          <w:rFonts w:ascii="Tahoma" w:hAnsi="Tahoma" w:cs="Tahoma"/>
        </w:rPr>
        <w:t>, que han conllevado a la creación de nuevos procesos y procedimientos que permite la articulación de las distintas áreas de la empresa aportando de manera adecuada y eficiente la presentación de ofertas</w:t>
      </w:r>
      <w:r w:rsidRPr="009E0C83">
        <w:rPr>
          <w:rFonts w:ascii="Tahoma" w:hAnsi="Tahoma" w:cs="Tahoma"/>
        </w:rPr>
        <w:t xml:space="preserve">. </w:t>
      </w:r>
      <w:r w:rsidRPr="009E0C83">
        <w:rPr>
          <w:rFonts w:ascii="Tahoma" w:hAnsi="Tahoma" w:cs="Tahoma"/>
          <w:b/>
          <w:bCs/>
        </w:rPr>
        <w:t>Hitos:</w:t>
      </w:r>
    </w:p>
    <w:p w14:paraId="18B76959" w14:textId="77777777" w:rsidR="00D60911" w:rsidRPr="009E0C83" w:rsidRDefault="00D60911" w:rsidP="00164509">
      <w:pPr>
        <w:numPr>
          <w:ilvl w:val="0"/>
          <w:numId w:val="151"/>
        </w:numPr>
        <w:jc w:val="both"/>
        <w:rPr>
          <w:rFonts w:ascii="Tahoma" w:hAnsi="Tahoma" w:cs="Tahoma"/>
        </w:rPr>
      </w:pPr>
      <w:r w:rsidRPr="009E0C83">
        <w:rPr>
          <w:rFonts w:ascii="Tahoma" w:hAnsi="Tahoma" w:cs="Tahoma"/>
        </w:rPr>
        <w:t>Creación de una estrategia que permite vincular los distintos procesos para SED.</w:t>
      </w:r>
    </w:p>
    <w:p w14:paraId="4F513D7E" w14:textId="77777777" w:rsidR="00D60911" w:rsidRPr="009E0C83" w:rsidRDefault="00D60911" w:rsidP="00164509">
      <w:pPr>
        <w:numPr>
          <w:ilvl w:val="0"/>
          <w:numId w:val="151"/>
        </w:numPr>
        <w:jc w:val="both"/>
        <w:rPr>
          <w:rFonts w:ascii="Tahoma" w:hAnsi="Tahoma" w:cs="Tahoma"/>
        </w:rPr>
      </w:pPr>
      <w:r w:rsidRPr="009E0C83">
        <w:rPr>
          <w:rFonts w:ascii="Tahoma" w:hAnsi="Tahoma" w:cs="Tahoma"/>
        </w:rPr>
        <w:t>Realización de un estudio de mercado para viabilizar oportunidades de negocio. </w:t>
      </w:r>
    </w:p>
    <w:p w14:paraId="7AB0F385" w14:textId="77777777" w:rsidR="00D60911" w:rsidRPr="00DF26FA" w:rsidRDefault="00D60911" w:rsidP="00164509">
      <w:pPr>
        <w:pStyle w:val="Prrafodelista"/>
        <w:numPr>
          <w:ilvl w:val="0"/>
          <w:numId w:val="164"/>
        </w:numPr>
        <w:jc w:val="both"/>
        <w:rPr>
          <w:rFonts w:ascii="Tahoma" w:hAnsi="Tahoma" w:cs="Tahoma"/>
        </w:rPr>
      </w:pPr>
      <w:r w:rsidRPr="00DF26FA">
        <w:rPr>
          <w:rFonts w:ascii="Tahoma" w:hAnsi="Tahoma" w:cs="Tahoma"/>
          <w:b/>
          <w:bCs/>
        </w:rPr>
        <w:t>Entrada en operación de los proyectos: SmartValves Santa Marta Etapa 1 y SmartValves Atlántico</w:t>
      </w:r>
    </w:p>
    <w:tbl>
      <w:tblPr>
        <w:tblW w:w="0" w:type="auto"/>
        <w:tblCellMar>
          <w:top w:w="15" w:type="dxa"/>
          <w:left w:w="15" w:type="dxa"/>
          <w:bottom w:w="15" w:type="dxa"/>
          <w:right w:w="15" w:type="dxa"/>
        </w:tblCellMar>
        <w:tblLook w:val="04A0" w:firstRow="1" w:lastRow="0" w:firstColumn="1" w:lastColumn="0" w:noHBand="0" w:noVBand="1"/>
      </w:tblPr>
      <w:tblGrid>
        <w:gridCol w:w="2503"/>
        <w:gridCol w:w="3247"/>
        <w:gridCol w:w="3068"/>
      </w:tblGrid>
      <w:tr w:rsidR="00D60911" w:rsidRPr="009E0C83" w14:paraId="262AD211"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B32F8" w14:textId="77777777" w:rsidR="00D60911" w:rsidRPr="009E0C83" w:rsidRDefault="00D60911" w:rsidP="002F67B3">
            <w:pPr>
              <w:jc w:val="both"/>
              <w:rPr>
                <w:rFonts w:ascii="Tahoma" w:hAnsi="Tahoma" w:cs="Tahoma"/>
              </w:rPr>
            </w:pPr>
            <w:r w:rsidRPr="009E0C83">
              <w:rPr>
                <w:rFonts w:ascii="Tahoma" w:hAnsi="Tahoma" w:cs="Tahoma"/>
                <w:b/>
                <w:bCs/>
              </w:rPr>
              <w:t>Medio ambiente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F4576" w14:textId="77777777" w:rsidR="00D60911" w:rsidRPr="009E0C83" w:rsidRDefault="00D60911" w:rsidP="002F67B3">
            <w:pPr>
              <w:jc w:val="both"/>
              <w:rPr>
                <w:rFonts w:ascii="Tahoma" w:hAnsi="Tahoma" w:cs="Tahoma"/>
              </w:rPr>
            </w:pPr>
            <w:r w:rsidRPr="009E0C83">
              <w:rPr>
                <w:rFonts w:ascii="Tahoma" w:hAnsi="Tahoma" w:cs="Tahoma"/>
                <w:b/>
                <w:bCs/>
              </w:rPr>
              <w:t>Personas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F892F6" w14:textId="77777777" w:rsidR="00D60911" w:rsidRPr="009E0C83" w:rsidRDefault="00D60911" w:rsidP="002F67B3">
            <w:pPr>
              <w:jc w:val="both"/>
              <w:rPr>
                <w:rFonts w:ascii="Tahoma" w:hAnsi="Tahoma" w:cs="Tahoma"/>
              </w:rPr>
            </w:pPr>
            <w:r w:rsidRPr="009E0C83">
              <w:rPr>
                <w:rFonts w:ascii="Tahoma" w:hAnsi="Tahoma" w:cs="Tahoma"/>
                <w:b/>
                <w:bCs/>
              </w:rPr>
              <w:t>Economía</w:t>
            </w:r>
          </w:p>
        </w:tc>
      </w:tr>
      <w:tr w:rsidR="00D60911" w:rsidRPr="009E0C83" w14:paraId="0975A812"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C9A2D4" w14:textId="77777777" w:rsidR="00D60911" w:rsidRPr="009E0C83" w:rsidRDefault="00D60911" w:rsidP="002F67B3">
            <w:pPr>
              <w:jc w:val="both"/>
              <w:rPr>
                <w:rFonts w:ascii="Tahoma" w:hAnsi="Tahoma" w:cs="Tahoma"/>
              </w:rPr>
            </w:pPr>
            <w:r w:rsidRPr="009E0C83">
              <w:rPr>
                <w:rFonts w:ascii="Tahoma" w:hAnsi="Tahoma" w:cs="Tahoma"/>
              </w:rPr>
              <w:t xml:space="preserve">Tiene un impacto positivo en el </w:t>
            </w:r>
            <w:r w:rsidRPr="002F7BFE">
              <w:rPr>
                <w:rFonts w:ascii="Tahoma" w:hAnsi="Tahoma" w:cs="Tahoma"/>
              </w:rPr>
              <w:t>ambiente ya que contribuye a disminuir la huella de carbono.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871E2" w14:textId="77777777" w:rsidR="00D60911" w:rsidRPr="009E0C83" w:rsidRDefault="00D60911" w:rsidP="002F67B3">
            <w:pPr>
              <w:jc w:val="both"/>
              <w:rPr>
                <w:rFonts w:ascii="Tahoma" w:hAnsi="Tahoma" w:cs="Tahoma"/>
              </w:rPr>
            </w:pPr>
            <w:r w:rsidRPr="009E0C83">
              <w:rPr>
                <w:rFonts w:ascii="Tahoma" w:hAnsi="Tahoma" w:cs="Tahoma"/>
              </w:rPr>
              <w:t>La entrada en servicio de estos proyectos aumenta la confiabilidad y seguridad del Sistema Interconectado Nacional.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B5E743" w14:textId="77777777" w:rsidR="00D60911" w:rsidRPr="009E0C83" w:rsidRDefault="00D60911" w:rsidP="002F67B3">
            <w:pPr>
              <w:jc w:val="both"/>
              <w:rPr>
                <w:rFonts w:ascii="Tahoma" w:hAnsi="Tahoma" w:cs="Tahoma"/>
              </w:rPr>
            </w:pPr>
            <w:r w:rsidRPr="009E0C83">
              <w:rPr>
                <w:rFonts w:ascii="Tahoma" w:hAnsi="Tahoma" w:cs="Tahoma"/>
              </w:rPr>
              <w:t>Cumplimiento de las metas los objetivos financieros que aseguran la vigencia corporativa y dan valor al accionista</w:t>
            </w:r>
          </w:p>
        </w:tc>
      </w:tr>
    </w:tbl>
    <w:p w14:paraId="01BD6CE5" w14:textId="77777777" w:rsidR="00D60911" w:rsidRPr="009E0C83" w:rsidRDefault="00D60911" w:rsidP="00D60911">
      <w:pPr>
        <w:jc w:val="both"/>
        <w:rPr>
          <w:rFonts w:ascii="Tahoma" w:hAnsi="Tahoma" w:cs="Tahoma"/>
        </w:rPr>
      </w:pPr>
    </w:p>
    <w:p w14:paraId="5B074310" w14:textId="77777777" w:rsidR="00D60911" w:rsidRPr="009E0C83" w:rsidRDefault="00D60911" w:rsidP="00D60911">
      <w:pPr>
        <w:jc w:val="both"/>
        <w:rPr>
          <w:rFonts w:ascii="Tahoma" w:hAnsi="Tahoma" w:cs="Tahoma"/>
        </w:rPr>
      </w:pPr>
      <w:r w:rsidRPr="009E0C83">
        <w:rPr>
          <w:rFonts w:ascii="Tahoma" w:hAnsi="Tahoma" w:cs="Tahoma"/>
          <w:b/>
          <w:bCs/>
        </w:rPr>
        <w:t>Hitos:</w:t>
      </w:r>
    </w:p>
    <w:p w14:paraId="40A4ADA8" w14:textId="2C392721" w:rsidR="00D60911" w:rsidRDefault="00D60911" w:rsidP="00D60911">
      <w:pPr>
        <w:pStyle w:val="Prrafodelista"/>
        <w:jc w:val="both"/>
        <w:rPr>
          <w:rFonts w:ascii="Tahoma" w:hAnsi="Tahoma" w:cs="Tahoma"/>
        </w:rPr>
      </w:pPr>
      <w:r w:rsidRPr="00D60911">
        <w:rPr>
          <w:rFonts w:ascii="Tahoma" w:hAnsi="Tahoma" w:cs="Tahoma"/>
        </w:rPr>
        <w:lastRenderedPageBreak/>
        <w:t>Gestión ante la Comisión de Regulación de Energía y Gas – CREG para la actualización de los ingresos de TRANSELCA, teniendo en cuenta la puesta en servicio de los nuevos activos SmartValves.</w:t>
      </w:r>
    </w:p>
    <w:p w14:paraId="7200F367" w14:textId="77777777" w:rsidR="00D60911" w:rsidRPr="00D60911" w:rsidRDefault="00D60911" w:rsidP="00D60911">
      <w:pPr>
        <w:pStyle w:val="Prrafodelista"/>
        <w:jc w:val="both"/>
        <w:rPr>
          <w:rFonts w:ascii="Tahoma" w:hAnsi="Tahoma" w:cs="Tahoma"/>
        </w:rPr>
      </w:pPr>
    </w:p>
    <w:p w14:paraId="08A6E5A5" w14:textId="77777777" w:rsidR="00D60911" w:rsidRPr="00D60911" w:rsidRDefault="00D60911" w:rsidP="00164509">
      <w:pPr>
        <w:pStyle w:val="Prrafodelista"/>
        <w:numPr>
          <w:ilvl w:val="0"/>
          <w:numId w:val="165"/>
        </w:numPr>
        <w:jc w:val="both"/>
        <w:rPr>
          <w:rFonts w:ascii="Tahoma" w:hAnsi="Tahoma" w:cs="Tahoma"/>
        </w:rPr>
      </w:pPr>
      <w:r w:rsidRPr="00D60911">
        <w:rPr>
          <w:rFonts w:ascii="Tahoma" w:hAnsi="Tahoma" w:cs="Tahoma"/>
        </w:rPr>
        <w:t>Se logró en el tiempo establecido la puesta en servicio de SmartValves Santa Marta el 24 de mayo 2023 y SmartValves Atlántico el 01 de agosto de 2024 lo que permitió aumentar la confiabilidad y seguridad del Sistema Interconectado Nacional.</w:t>
      </w:r>
    </w:p>
    <w:p w14:paraId="05C495BB" w14:textId="77777777" w:rsidR="00D60911" w:rsidRPr="00736DBF" w:rsidRDefault="00D60911" w:rsidP="00D60911">
      <w:pPr>
        <w:jc w:val="both"/>
        <w:rPr>
          <w:rFonts w:ascii="Tahoma" w:hAnsi="Tahoma" w:cs="Tahoma"/>
        </w:rPr>
      </w:pPr>
    </w:p>
    <w:p w14:paraId="61B0CF8B" w14:textId="77777777" w:rsidR="00D60911" w:rsidRPr="00DF26FA" w:rsidRDefault="00D60911" w:rsidP="00164509">
      <w:pPr>
        <w:pStyle w:val="Prrafodelista"/>
        <w:numPr>
          <w:ilvl w:val="0"/>
          <w:numId w:val="164"/>
        </w:numPr>
        <w:jc w:val="both"/>
        <w:rPr>
          <w:rFonts w:ascii="Tahoma" w:hAnsi="Tahoma" w:cs="Tahoma"/>
        </w:rPr>
      </w:pPr>
      <w:r w:rsidRPr="00DF26FA">
        <w:rPr>
          <w:rFonts w:ascii="Tahoma" w:hAnsi="Tahoma" w:cs="Tahoma"/>
          <w:b/>
          <w:bCs/>
        </w:rPr>
        <w:t>Entrada en operación del proyecto ampliación de la capacidad de transformación de la Subestación El Copey.</w:t>
      </w:r>
    </w:p>
    <w:tbl>
      <w:tblPr>
        <w:tblW w:w="8504" w:type="dxa"/>
        <w:tblCellMar>
          <w:top w:w="15" w:type="dxa"/>
          <w:left w:w="15" w:type="dxa"/>
          <w:bottom w:w="15" w:type="dxa"/>
          <w:right w:w="15" w:type="dxa"/>
        </w:tblCellMar>
        <w:tblLook w:val="04A0" w:firstRow="1" w:lastRow="0" w:firstColumn="1" w:lastColumn="0" w:noHBand="0" w:noVBand="1"/>
      </w:tblPr>
      <w:tblGrid>
        <w:gridCol w:w="2950"/>
        <w:gridCol w:w="3249"/>
        <w:gridCol w:w="2305"/>
      </w:tblGrid>
      <w:tr w:rsidR="00D60911" w:rsidRPr="009E0C83" w14:paraId="221CE0EB"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6F291" w14:textId="77777777" w:rsidR="00D60911" w:rsidRPr="009E0C83" w:rsidRDefault="00D60911" w:rsidP="002F67B3">
            <w:pPr>
              <w:jc w:val="both"/>
              <w:rPr>
                <w:rFonts w:ascii="Tahoma" w:hAnsi="Tahoma" w:cs="Tahoma"/>
              </w:rPr>
            </w:pPr>
            <w:r w:rsidRPr="009E0C83">
              <w:rPr>
                <w:rFonts w:ascii="Tahoma" w:hAnsi="Tahoma" w:cs="Tahoma"/>
                <w:b/>
                <w:bCs/>
              </w:rPr>
              <w:t>Medio ambiente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64942C" w14:textId="77777777" w:rsidR="00D60911" w:rsidRPr="009E0C83" w:rsidRDefault="00D60911" w:rsidP="002F67B3">
            <w:pPr>
              <w:jc w:val="both"/>
              <w:rPr>
                <w:rFonts w:ascii="Tahoma" w:hAnsi="Tahoma" w:cs="Tahoma"/>
              </w:rPr>
            </w:pPr>
            <w:r w:rsidRPr="009E0C83">
              <w:rPr>
                <w:rFonts w:ascii="Tahoma" w:hAnsi="Tahoma" w:cs="Tahoma"/>
                <w:b/>
                <w:bCs/>
              </w:rPr>
              <w:t>Personas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951A3F" w14:textId="77777777" w:rsidR="00D60911" w:rsidRPr="009E0C83" w:rsidRDefault="00D60911" w:rsidP="002F67B3">
            <w:pPr>
              <w:jc w:val="both"/>
              <w:rPr>
                <w:rFonts w:ascii="Tahoma" w:hAnsi="Tahoma" w:cs="Tahoma"/>
              </w:rPr>
            </w:pPr>
            <w:r w:rsidRPr="009E0C83">
              <w:rPr>
                <w:rFonts w:ascii="Tahoma" w:hAnsi="Tahoma" w:cs="Tahoma"/>
                <w:b/>
                <w:bCs/>
              </w:rPr>
              <w:t>Economía</w:t>
            </w:r>
          </w:p>
        </w:tc>
      </w:tr>
      <w:tr w:rsidR="00D60911" w:rsidRPr="00D60911" w14:paraId="7608302D" w14:textId="77777777" w:rsidTr="002F67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D5EED" w14:textId="77777777" w:rsidR="00D60911" w:rsidRPr="00D60911" w:rsidRDefault="00D60911" w:rsidP="002F67B3">
            <w:pPr>
              <w:jc w:val="both"/>
              <w:rPr>
                <w:rFonts w:ascii="Tahoma" w:hAnsi="Tahoma" w:cs="Tahoma"/>
              </w:rPr>
            </w:pPr>
            <w:r w:rsidRPr="00D60911">
              <w:rPr>
                <w:rFonts w:ascii="Tahoma" w:hAnsi="Tahoma" w:cs="Tahoma"/>
              </w:rPr>
              <w:t>Reduce la Energía No Suministrada – ENS en caso de fallas o mantenimiento de equipos.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5F95D8" w14:textId="77777777" w:rsidR="00D60911" w:rsidRPr="00D60911" w:rsidRDefault="00D60911" w:rsidP="002F67B3">
            <w:pPr>
              <w:jc w:val="both"/>
              <w:rPr>
                <w:rFonts w:ascii="Tahoma" w:hAnsi="Tahoma" w:cs="Tahoma"/>
              </w:rPr>
            </w:pPr>
            <w:r w:rsidRPr="00D60911">
              <w:rPr>
                <w:rFonts w:ascii="Tahoma" w:hAnsi="Tahoma" w:cs="Tahoma"/>
              </w:rPr>
              <w:t>Permite atender el crecimiento de la demanda en la zona de influencia de la subestación y mejora la confiabilidad de esta.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0460F3" w14:textId="77777777" w:rsidR="00D60911" w:rsidRPr="00D60911" w:rsidRDefault="00D60911" w:rsidP="002F67B3">
            <w:pPr>
              <w:jc w:val="both"/>
              <w:rPr>
                <w:rFonts w:ascii="Tahoma" w:hAnsi="Tahoma" w:cs="Tahoma"/>
              </w:rPr>
            </w:pPr>
            <w:r w:rsidRPr="00D60911">
              <w:rPr>
                <w:rFonts w:ascii="Tahoma" w:hAnsi="Tahoma" w:cs="Tahoma"/>
              </w:rPr>
              <w:t>Viabiliza la conexión de nuevos proyectos de carga y/o generación.</w:t>
            </w:r>
          </w:p>
        </w:tc>
      </w:tr>
    </w:tbl>
    <w:p w14:paraId="332D2FC0" w14:textId="77777777" w:rsidR="00D60911" w:rsidRPr="00D60911" w:rsidRDefault="00D60911" w:rsidP="00D60911">
      <w:pPr>
        <w:jc w:val="both"/>
        <w:rPr>
          <w:rFonts w:ascii="Tahoma" w:hAnsi="Tahoma" w:cs="Tahoma"/>
        </w:rPr>
      </w:pPr>
    </w:p>
    <w:p w14:paraId="678DA6E6" w14:textId="77777777" w:rsidR="00D60911" w:rsidRPr="00D60911" w:rsidRDefault="00D60911" w:rsidP="00D60911">
      <w:pPr>
        <w:jc w:val="both"/>
        <w:rPr>
          <w:rFonts w:ascii="Tahoma" w:hAnsi="Tahoma" w:cs="Tahoma"/>
          <w:b/>
          <w:bCs/>
        </w:rPr>
      </w:pPr>
      <w:r w:rsidRPr="00D60911">
        <w:rPr>
          <w:rFonts w:ascii="Tahoma" w:hAnsi="Tahoma" w:cs="Tahoma"/>
          <w:b/>
          <w:bCs/>
        </w:rPr>
        <w:t>Hito:</w:t>
      </w:r>
    </w:p>
    <w:p w14:paraId="4048B0B4" w14:textId="77777777" w:rsidR="00D60911" w:rsidRPr="00D60911" w:rsidRDefault="00D60911" w:rsidP="00164509">
      <w:pPr>
        <w:pStyle w:val="Prrafodelista"/>
        <w:numPr>
          <w:ilvl w:val="0"/>
          <w:numId w:val="166"/>
        </w:numPr>
        <w:jc w:val="both"/>
        <w:rPr>
          <w:rFonts w:ascii="Tahoma" w:hAnsi="Tahoma" w:cs="Tahoma"/>
        </w:rPr>
      </w:pPr>
      <w:r w:rsidRPr="00D60911">
        <w:rPr>
          <w:rFonts w:ascii="Tahoma" w:hAnsi="Tahoma" w:cs="Tahoma"/>
        </w:rPr>
        <w:t>La puesta en servicio de la ampliación El Copey fue el 26 de noviembre 2024.</w:t>
      </w:r>
    </w:p>
    <w:p w14:paraId="3FAFB97D" w14:textId="77777777" w:rsidR="00D60911" w:rsidRPr="00D60911" w:rsidRDefault="00D60911" w:rsidP="00D60911">
      <w:pPr>
        <w:pStyle w:val="Prrafodelista"/>
        <w:jc w:val="both"/>
        <w:rPr>
          <w:rFonts w:ascii="Tahoma" w:hAnsi="Tahoma" w:cs="Tahoma"/>
        </w:rPr>
      </w:pPr>
    </w:p>
    <w:p w14:paraId="536BD0EB" w14:textId="77777777" w:rsidR="00D60911" w:rsidRPr="009E0C83" w:rsidRDefault="00D60911" w:rsidP="00D60911">
      <w:pPr>
        <w:jc w:val="both"/>
        <w:rPr>
          <w:rFonts w:ascii="Tahoma" w:hAnsi="Tahoma" w:cs="Tahoma"/>
          <w:b/>
          <w:bCs/>
          <w:sz w:val="36"/>
          <w:szCs w:val="36"/>
        </w:rPr>
      </w:pPr>
      <w:r w:rsidRPr="00D60911">
        <w:rPr>
          <w:rFonts w:ascii="Tahoma" w:hAnsi="Tahoma" w:cs="Tahoma"/>
          <w:b/>
          <w:bCs/>
          <w:sz w:val="36"/>
          <w:szCs w:val="36"/>
        </w:rPr>
        <w:t>Riesgos identificados para este asunto material</w:t>
      </w:r>
    </w:p>
    <w:p w14:paraId="6A3A9F69" w14:textId="77777777" w:rsidR="00D60911" w:rsidRPr="009E0C83" w:rsidRDefault="00D60911" w:rsidP="00D60911">
      <w:pPr>
        <w:jc w:val="both"/>
        <w:rPr>
          <w:rFonts w:ascii="Tahoma" w:hAnsi="Tahoma" w:cs="Tahoma"/>
        </w:rPr>
      </w:pPr>
      <w:r w:rsidRPr="009E0C83">
        <w:rPr>
          <w:rFonts w:ascii="Tahoma" w:hAnsi="Tahoma" w:cs="Tahoma"/>
          <w:b/>
          <w:bCs/>
        </w:rPr>
        <w:t>Medio Ambiente:</w:t>
      </w:r>
    </w:p>
    <w:p w14:paraId="66026964" w14:textId="77777777" w:rsidR="00D60911" w:rsidRPr="009E0C83" w:rsidRDefault="00D60911" w:rsidP="00164509">
      <w:pPr>
        <w:numPr>
          <w:ilvl w:val="0"/>
          <w:numId w:val="152"/>
        </w:numPr>
        <w:jc w:val="both"/>
        <w:rPr>
          <w:rFonts w:ascii="Tahoma" w:hAnsi="Tahoma" w:cs="Tahoma"/>
        </w:rPr>
      </w:pPr>
      <w:r w:rsidRPr="009E0C83">
        <w:rPr>
          <w:rFonts w:ascii="Tahoma" w:hAnsi="Tahoma" w:cs="Tahoma"/>
        </w:rPr>
        <w:t>Desplazamiento de la biodiversidad, dado que la implementación de proyectos de energía renovable, como parques eólicos o solares, requieren grandes extensiones de tierra, pudiendo desplazar flora y fauna local.</w:t>
      </w:r>
    </w:p>
    <w:p w14:paraId="059210E6" w14:textId="77777777" w:rsidR="00D60911" w:rsidRPr="009E0C83" w:rsidRDefault="00D60911" w:rsidP="00D60911">
      <w:pPr>
        <w:jc w:val="both"/>
        <w:rPr>
          <w:rFonts w:ascii="Tahoma" w:hAnsi="Tahoma" w:cs="Tahoma"/>
        </w:rPr>
      </w:pPr>
      <w:r w:rsidRPr="009E0C83">
        <w:rPr>
          <w:rFonts w:ascii="Tahoma" w:hAnsi="Tahoma" w:cs="Tahoma"/>
          <w:b/>
          <w:bCs/>
        </w:rPr>
        <w:t>Personas: </w:t>
      </w:r>
    </w:p>
    <w:p w14:paraId="4F9F0CCA" w14:textId="77777777" w:rsidR="00D60911" w:rsidRPr="009E0C83" w:rsidRDefault="00D60911" w:rsidP="00164509">
      <w:pPr>
        <w:numPr>
          <w:ilvl w:val="0"/>
          <w:numId w:val="153"/>
        </w:numPr>
        <w:jc w:val="both"/>
        <w:rPr>
          <w:rFonts w:ascii="Tahoma" w:hAnsi="Tahoma" w:cs="Tahoma"/>
        </w:rPr>
      </w:pPr>
      <w:r w:rsidRPr="00D60911">
        <w:rPr>
          <w:rFonts w:ascii="Tahoma" w:hAnsi="Tahoma" w:cs="Tahoma"/>
        </w:rPr>
        <w:t>Adaptación: La</w:t>
      </w:r>
      <w:r w:rsidRPr="009E0C83">
        <w:rPr>
          <w:rFonts w:ascii="Tahoma" w:hAnsi="Tahoma" w:cs="Tahoma"/>
        </w:rPr>
        <w:t xml:space="preserve"> integración de los nuevos colaboradores ha requerido tiempo de capacitación y adaptación. </w:t>
      </w:r>
    </w:p>
    <w:p w14:paraId="23BA74EE" w14:textId="77777777" w:rsidR="00D60911" w:rsidRPr="009E0C83" w:rsidRDefault="00D60911" w:rsidP="00D60911">
      <w:pPr>
        <w:jc w:val="both"/>
        <w:rPr>
          <w:rFonts w:ascii="Tahoma" w:hAnsi="Tahoma" w:cs="Tahoma"/>
        </w:rPr>
      </w:pPr>
      <w:r w:rsidRPr="009E0C83">
        <w:rPr>
          <w:rFonts w:ascii="Tahoma" w:hAnsi="Tahoma" w:cs="Tahoma"/>
          <w:b/>
          <w:bCs/>
        </w:rPr>
        <w:lastRenderedPageBreak/>
        <w:t>Económicos:</w:t>
      </w:r>
    </w:p>
    <w:p w14:paraId="4324963E" w14:textId="77777777" w:rsidR="00D60911" w:rsidRPr="009E0C83" w:rsidRDefault="00D60911" w:rsidP="00164509">
      <w:pPr>
        <w:numPr>
          <w:ilvl w:val="0"/>
          <w:numId w:val="154"/>
        </w:numPr>
        <w:jc w:val="both"/>
        <w:rPr>
          <w:rFonts w:ascii="Tahoma" w:hAnsi="Tahoma" w:cs="Tahoma"/>
        </w:rPr>
      </w:pPr>
      <w:r w:rsidRPr="009E0C83">
        <w:rPr>
          <w:rFonts w:ascii="Tahoma" w:hAnsi="Tahoma" w:cs="Tahoma"/>
        </w:rPr>
        <w:t xml:space="preserve">Riesgo de </w:t>
      </w:r>
      <w:r>
        <w:rPr>
          <w:rFonts w:ascii="Tahoma" w:hAnsi="Tahoma" w:cs="Tahoma"/>
        </w:rPr>
        <w:t>n</w:t>
      </w:r>
      <w:r w:rsidRPr="009E0C83">
        <w:rPr>
          <w:rFonts w:ascii="Tahoma" w:hAnsi="Tahoma" w:cs="Tahoma"/>
        </w:rPr>
        <w:t>egocio con relación a la estimación de la producción de energía que debe ser gestionada de forma asertiva.</w:t>
      </w:r>
    </w:p>
    <w:p w14:paraId="6DA4A2CF" w14:textId="77777777" w:rsidR="00D60911" w:rsidRPr="009E0C83" w:rsidRDefault="00D60911" w:rsidP="00164509">
      <w:pPr>
        <w:numPr>
          <w:ilvl w:val="0"/>
          <w:numId w:val="154"/>
        </w:numPr>
        <w:jc w:val="both"/>
        <w:rPr>
          <w:rFonts w:ascii="Tahoma" w:hAnsi="Tahoma" w:cs="Tahoma"/>
        </w:rPr>
      </w:pPr>
      <w:r w:rsidRPr="009E0C83">
        <w:rPr>
          <w:rFonts w:ascii="Tahoma" w:hAnsi="Tahoma" w:cs="Tahoma"/>
        </w:rPr>
        <w:t>Costos laborales por el aumento de la plantilla de personal que incluye salarios, beneficios y otros gastos asociados.</w:t>
      </w:r>
    </w:p>
    <w:p w14:paraId="6006DAAE" w14:textId="77777777" w:rsidR="00D60911" w:rsidRPr="009E0C83" w:rsidRDefault="00D60911" w:rsidP="00D60911">
      <w:pPr>
        <w:jc w:val="both"/>
        <w:rPr>
          <w:rFonts w:ascii="Tahoma" w:hAnsi="Tahoma" w:cs="Tahoma"/>
        </w:rPr>
      </w:pPr>
      <w:r w:rsidRPr="009E0C83">
        <w:rPr>
          <w:rFonts w:ascii="Tahoma" w:hAnsi="Tahoma" w:cs="Tahoma"/>
          <w:b/>
          <w:bCs/>
        </w:rPr>
        <w:t>Gestión del riesgo</w:t>
      </w:r>
    </w:p>
    <w:p w14:paraId="02002C3E" w14:textId="77777777" w:rsidR="00D60911" w:rsidRPr="009E0C83" w:rsidRDefault="00D60911" w:rsidP="00D60911">
      <w:pPr>
        <w:jc w:val="both"/>
        <w:rPr>
          <w:rFonts w:ascii="Tahoma" w:hAnsi="Tahoma" w:cs="Tahoma"/>
        </w:rPr>
      </w:pPr>
      <w:r w:rsidRPr="009E0C83">
        <w:rPr>
          <w:rFonts w:ascii="Tahoma" w:hAnsi="Tahoma" w:cs="Tahoma"/>
        </w:rPr>
        <w:t>TRANSELCA hace énfasis en las medidas de mitigación de los distintos riesgos que se presentan en los proyectos. Para ello:</w:t>
      </w:r>
    </w:p>
    <w:p w14:paraId="5BADF0A2" w14:textId="77777777" w:rsidR="00D60911" w:rsidRPr="009E0C83" w:rsidRDefault="00D60911" w:rsidP="00164509">
      <w:pPr>
        <w:numPr>
          <w:ilvl w:val="0"/>
          <w:numId w:val="155"/>
        </w:numPr>
        <w:jc w:val="both"/>
        <w:rPr>
          <w:rFonts w:ascii="Tahoma" w:hAnsi="Tahoma" w:cs="Tahoma"/>
        </w:rPr>
      </w:pPr>
      <w:r w:rsidRPr="009E0C83">
        <w:rPr>
          <w:rFonts w:ascii="Tahoma" w:hAnsi="Tahoma" w:cs="Tahoma"/>
        </w:rPr>
        <w:t>Realiza seguimiento detallado al cronograma de los proyectos.</w:t>
      </w:r>
    </w:p>
    <w:p w14:paraId="3AF553D7" w14:textId="77777777" w:rsidR="00D60911" w:rsidRPr="009E0C83" w:rsidRDefault="00D60911" w:rsidP="00164509">
      <w:pPr>
        <w:numPr>
          <w:ilvl w:val="0"/>
          <w:numId w:val="155"/>
        </w:numPr>
        <w:jc w:val="both"/>
        <w:rPr>
          <w:rFonts w:ascii="Tahoma" w:hAnsi="Tahoma" w:cs="Tahoma"/>
        </w:rPr>
      </w:pPr>
      <w:r w:rsidRPr="009E0C83">
        <w:rPr>
          <w:rFonts w:ascii="Tahoma" w:hAnsi="Tahoma" w:cs="Tahoma"/>
        </w:rPr>
        <w:t>Optimiza los tiempos establecidos en el cronograma.</w:t>
      </w:r>
    </w:p>
    <w:p w14:paraId="709E398B" w14:textId="77777777" w:rsidR="00D60911" w:rsidRPr="009E0C83" w:rsidRDefault="00D60911" w:rsidP="00164509">
      <w:pPr>
        <w:numPr>
          <w:ilvl w:val="0"/>
          <w:numId w:val="155"/>
        </w:numPr>
        <w:jc w:val="both"/>
        <w:rPr>
          <w:rFonts w:ascii="Tahoma" w:hAnsi="Tahoma" w:cs="Tahoma"/>
        </w:rPr>
      </w:pPr>
      <w:r w:rsidRPr="009E0C83">
        <w:rPr>
          <w:rFonts w:ascii="Tahoma" w:hAnsi="Tahoma" w:cs="Tahoma"/>
        </w:rPr>
        <w:t>Establece alianzas estratégicas con proveedores.</w:t>
      </w:r>
    </w:p>
    <w:p w14:paraId="01126C8E" w14:textId="77777777" w:rsidR="00D60911" w:rsidRPr="009E0C83" w:rsidRDefault="00D60911" w:rsidP="00164509">
      <w:pPr>
        <w:numPr>
          <w:ilvl w:val="0"/>
          <w:numId w:val="155"/>
        </w:numPr>
        <w:jc w:val="both"/>
        <w:rPr>
          <w:rFonts w:ascii="Tahoma" w:hAnsi="Tahoma" w:cs="Tahoma"/>
        </w:rPr>
      </w:pPr>
      <w:r w:rsidRPr="009E0C83">
        <w:rPr>
          <w:rFonts w:ascii="Tahoma" w:hAnsi="Tahoma" w:cs="Tahoma"/>
        </w:rPr>
        <w:t>Recoge lecciones aprendidas que se incorporan como oportunidades de mejora.</w:t>
      </w:r>
    </w:p>
    <w:p w14:paraId="3ADB3C28" w14:textId="77777777" w:rsidR="00D60911" w:rsidRPr="009E0C83" w:rsidRDefault="00D60911" w:rsidP="00D60911">
      <w:pPr>
        <w:jc w:val="both"/>
        <w:rPr>
          <w:rFonts w:ascii="Tahoma" w:hAnsi="Tahoma" w:cs="Tahoma"/>
        </w:rPr>
      </w:pPr>
      <w:r w:rsidRPr="009E0C83">
        <w:rPr>
          <w:rFonts w:ascii="Tahoma" w:hAnsi="Tahoma" w:cs="Tahoma"/>
          <w:b/>
          <w:bCs/>
        </w:rPr>
        <w:t>Riesgos identificados:</w:t>
      </w:r>
    </w:p>
    <w:p w14:paraId="079FA9B2" w14:textId="77777777" w:rsidR="00D60911" w:rsidRPr="009E0C83" w:rsidRDefault="00D60911" w:rsidP="00164509">
      <w:pPr>
        <w:numPr>
          <w:ilvl w:val="0"/>
          <w:numId w:val="156"/>
        </w:numPr>
        <w:jc w:val="both"/>
        <w:rPr>
          <w:rFonts w:ascii="Tahoma" w:hAnsi="Tahoma" w:cs="Tahoma"/>
        </w:rPr>
      </w:pPr>
      <w:r w:rsidRPr="009E0C83">
        <w:rPr>
          <w:rFonts w:ascii="Tahoma" w:hAnsi="Tahoma" w:cs="Tahoma"/>
        </w:rPr>
        <w:t>Incumplimiento de la fecha de puesta en servicio de los proyectos. </w:t>
      </w:r>
    </w:p>
    <w:p w14:paraId="133DC478" w14:textId="77777777" w:rsidR="00D60911" w:rsidRPr="009E0C83" w:rsidRDefault="00D60911" w:rsidP="00164509">
      <w:pPr>
        <w:numPr>
          <w:ilvl w:val="0"/>
          <w:numId w:val="156"/>
        </w:numPr>
        <w:jc w:val="both"/>
        <w:rPr>
          <w:rFonts w:ascii="Tahoma" w:hAnsi="Tahoma" w:cs="Tahoma"/>
        </w:rPr>
      </w:pPr>
      <w:r w:rsidRPr="009E0C83">
        <w:rPr>
          <w:rFonts w:ascii="Tahoma" w:hAnsi="Tahoma" w:cs="Tahoma"/>
        </w:rPr>
        <w:t>Afectación en la seguridad del personal por alteración del orden público, dado que se ha observado un deterioro en la seguridad en diversas zonas del país, lo que puede poner en riesgo a los trabajadores involucrados en proyectos.</w:t>
      </w:r>
    </w:p>
    <w:p w14:paraId="43A6E8EA" w14:textId="77777777" w:rsidR="00D60911" w:rsidRPr="009E0C83" w:rsidRDefault="00D60911" w:rsidP="00164509">
      <w:pPr>
        <w:numPr>
          <w:ilvl w:val="0"/>
          <w:numId w:val="156"/>
        </w:numPr>
        <w:jc w:val="both"/>
        <w:rPr>
          <w:rFonts w:ascii="Tahoma" w:hAnsi="Tahoma" w:cs="Tahoma"/>
        </w:rPr>
      </w:pPr>
      <w:r w:rsidRPr="009E0C83">
        <w:rPr>
          <w:rFonts w:ascii="Tahoma" w:hAnsi="Tahoma" w:cs="Tahoma"/>
        </w:rPr>
        <w:t>El retraso en la obtención de permisos y licencias por tiempos prolongados para obtenerlos continúan siendo un desafío que podría retrasar la ejecución de los proyectos.</w:t>
      </w:r>
    </w:p>
    <w:p w14:paraId="7542311F" w14:textId="77777777" w:rsidR="00D60911" w:rsidRPr="009E0C83" w:rsidRDefault="00D60911" w:rsidP="00D60911">
      <w:pPr>
        <w:jc w:val="both"/>
        <w:rPr>
          <w:rFonts w:ascii="Tahoma" w:hAnsi="Tahoma" w:cs="Tahoma"/>
        </w:rPr>
      </w:pPr>
      <w:r w:rsidRPr="009E0C83">
        <w:rPr>
          <w:rFonts w:ascii="Tahoma" w:hAnsi="Tahoma" w:cs="Tahoma"/>
          <w:b/>
          <w:bCs/>
        </w:rPr>
        <w:t>Hitos:</w:t>
      </w:r>
    </w:p>
    <w:p w14:paraId="0763637B" w14:textId="77777777" w:rsidR="00D60911" w:rsidRPr="009E0C83" w:rsidRDefault="00D60911" w:rsidP="00164509">
      <w:pPr>
        <w:numPr>
          <w:ilvl w:val="0"/>
          <w:numId w:val="157"/>
        </w:numPr>
        <w:jc w:val="both"/>
        <w:rPr>
          <w:rFonts w:ascii="Tahoma" w:hAnsi="Tahoma" w:cs="Tahoma"/>
        </w:rPr>
      </w:pPr>
      <w:r w:rsidRPr="009E0C83">
        <w:rPr>
          <w:rFonts w:ascii="Tahoma" w:hAnsi="Tahoma" w:cs="Tahoma"/>
        </w:rPr>
        <w:t>Socialización de las actividades con los distintos grupos de interés.</w:t>
      </w:r>
    </w:p>
    <w:p w14:paraId="0AEC2AD9" w14:textId="77777777" w:rsidR="00D60911" w:rsidRPr="009E0C83" w:rsidRDefault="00D60911" w:rsidP="00164509">
      <w:pPr>
        <w:numPr>
          <w:ilvl w:val="0"/>
          <w:numId w:val="157"/>
        </w:numPr>
        <w:jc w:val="both"/>
        <w:rPr>
          <w:rFonts w:ascii="Tahoma" w:hAnsi="Tahoma" w:cs="Tahoma"/>
        </w:rPr>
      </w:pPr>
      <w:r w:rsidRPr="009E0C83">
        <w:rPr>
          <w:rFonts w:ascii="Tahoma" w:hAnsi="Tahoma" w:cs="Tahoma"/>
        </w:rPr>
        <w:t>Aviso a las autoridades locales y entes de control.</w:t>
      </w:r>
    </w:p>
    <w:p w14:paraId="21346D0C" w14:textId="77777777" w:rsidR="00D60911" w:rsidRPr="009E0C83" w:rsidRDefault="00D60911" w:rsidP="00164509">
      <w:pPr>
        <w:numPr>
          <w:ilvl w:val="0"/>
          <w:numId w:val="157"/>
        </w:numPr>
        <w:jc w:val="both"/>
        <w:rPr>
          <w:rFonts w:ascii="Tahoma" w:hAnsi="Tahoma" w:cs="Tahoma"/>
        </w:rPr>
      </w:pPr>
      <w:r w:rsidRPr="009E0C83">
        <w:rPr>
          <w:rFonts w:ascii="Tahoma" w:hAnsi="Tahoma" w:cs="Tahoma"/>
        </w:rPr>
        <w:t>Establecimiento de comunicación con el personal operativo y social del cliente para garantizar seguridad y coordinación.</w:t>
      </w:r>
    </w:p>
    <w:p w14:paraId="73483142" w14:textId="77777777" w:rsidR="00D60911" w:rsidRPr="009E0C83" w:rsidRDefault="00D60911" w:rsidP="00D60911">
      <w:pPr>
        <w:jc w:val="both"/>
        <w:rPr>
          <w:rFonts w:ascii="Tahoma" w:hAnsi="Tahoma" w:cs="Tahoma"/>
        </w:rPr>
      </w:pPr>
      <w:r w:rsidRPr="009E0C83">
        <w:rPr>
          <w:rFonts w:ascii="Tahoma" w:hAnsi="Tahoma" w:cs="Tahoma"/>
          <w:b/>
          <w:bCs/>
        </w:rPr>
        <w:t>Anticipación de oportunidades:</w:t>
      </w:r>
    </w:p>
    <w:p w14:paraId="3396B141" w14:textId="77777777" w:rsidR="00D60911" w:rsidRPr="009E0C83" w:rsidRDefault="00D60911" w:rsidP="00164509">
      <w:pPr>
        <w:numPr>
          <w:ilvl w:val="0"/>
          <w:numId w:val="158"/>
        </w:numPr>
        <w:jc w:val="both"/>
        <w:rPr>
          <w:rFonts w:ascii="Tahoma" w:hAnsi="Tahoma" w:cs="Tahoma"/>
        </w:rPr>
      </w:pPr>
      <w:r w:rsidRPr="009E0C83">
        <w:rPr>
          <w:rFonts w:ascii="Tahoma" w:hAnsi="Tahoma" w:cs="Tahoma"/>
        </w:rPr>
        <w:lastRenderedPageBreak/>
        <w:t>Realización de estudios de prefactibilidad completos, evaluando todos los componentes y posibles riesgos del territorio para anticipar cualquier obstáculo.</w:t>
      </w:r>
    </w:p>
    <w:p w14:paraId="371AE341" w14:textId="77777777" w:rsidR="00D60911" w:rsidRPr="00D60911" w:rsidRDefault="00D60911" w:rsidP="00164509">
      <w:pPr>
        <w:numPr>
          <w:ilvl w:val="0"/>
          <w:numId w:val="158"/>
        </w:numPr>
        <w:jc w:val="both"/>
        <w:rPr>
          <w:rFonts w:ascii="Tahoma" w:hAnsi="Tahoma" w:cs="Tahoma"/>
        </w:rPr>
      </w:pPr>
      <w:r w:rsidRPr="009E0C83">
        <w:rPr>
          <w:rFonts w:ascii="Tahoma" w:hAnsi="Tahoma" w:cs="Tahoma"/>
        </w:rPr>
        <w:t xml:space="preserve">Planificación adecuada de los cronogramas de desarrollo, considerando tiempos </w:t>
      </w:r>
      <w:r w:rsidRPr="00D60911">
        <w:rPr>
          <w:rFonts w:ascii="Tahoma" w:hAnsi="Tahoma" w:cs="Tahoma"/>
        </w:rPr>
        <w:t>para la tramitación de permisos.</w:t>
      </w:r>
    </w:p>
    <w:p w14:paraId="1D8D09E2" w14:textId="77777777" w:rsidR="00D60911" w:rsidRPr="00D60911" w:rsidRDefault="00D60911" w:rsidP="00164509">
      <w:pPr>
        <w:numPr>
          <w:ilvl w:val="0"/>
          <w:numId w:val="158"/>
        </w:numPr>
        <w:jc w:val="both"/>
        <w:rPr>
          <w:rFonts w:ascii="Tahoma" w:hAnsi="Tahoma" w:cs="Tahoma"/>
        </w:rPr>
      </w:pPr>
      <w:r w:rsidRPr="00D60911">
        <w:rPr>
          <w:rFonts w:ascii="Tahoma" w:hAnsi="Tahoma" w:cs="Tahoma"/>
        </w:rPr>
        <w:t>Contratación de mano de obra local en pro del desarrollo, para mejorar el relacionamiento con las comunidades y minimizar el riesgo de conflictos o bloqueos que afecten la ejecución de los proyectos. </w:t>
      </w:r>
    </w:p>
    <w:p w14:paraId="46C0F1B4" w14:textId="77777777" w:rsidR="00D60911" w:rsidRPr="00D60911" w:rsidRDefault="00D60911" w:rsidP="00164509">
      <w:pPr>
        <w:numPr>
          <w:ilvl w:val="0"/>
          <w:numId w:val="159"/>
        </w:numPr>
        <w:jc w:val="both"/>
        <w:rPr>
          <w:rFonts w:ascii="Tahoma" w:hAnsi="Tahoma" w:cs="Tahoma"/>
        </w:rPr>
      </w:pPr>
      <w:r w:rsidRPr="00D60911">
        <w:rPr>
          <w:rFonts w:ascii="Tahoma" w:hAnsi="Tahoma" w:cs="Tahoma"/>
        </w:rPr>
        <w:t>Identificación temprana de restricciones ambientales y sociales, lo cual permite gestionar eficientemente las licencias y permisos y reducir el impacto en la ejecución de los proyectos.</w:t>
      </w:r>
    </w:p>
    <w:p w14:paraId="73054E9E" w14:textId="77777777" w:rsidR="00D60911" w:rsidRPr="009E0C83" w:rsidRDefault="00D60911" w:rsidP="00D60911">
      <w:pPr>
        <w:jc w:val="both"/>
        <w:rPr>
          <w:rFonts w:ascii="Tahoma" w:hAnsi="Tahoma" w:cs="Tahoma"/>
          <w:b/>
          <w:bCs/>
          <w:sz w:val="36"/>
          <w:szCs w:val="36"/>
        </w:rPr>
      </w:pPr>
      <w:r w:rsidRPr="00D60911">
        <w:rPr>
          <w:rFonts w:ascii="Tahoma" w:hAnsi="Tahoma" w:cs="Tahoma"/>
          <w:b/>
          <w:bCs/>
          <w:sz w:val="36"/>
          <w:szCs w:val="36"/>
        </w:rPr>
        <w:t>Oportunidades</w:t>
      </w:r>
    </w:p>
    <w:p w14:paraId="2DA60780" w14:textId="77777777" w:rsidR="00D60911" w:rsidRPr="009E0C83" w:rsidRDefault="00D60911" w:rsidP="00164509">
      <w:pPr>
        <w:numPr>
          <w:ilvl w:val="0"/>
          <w:numId w:val="160"/>
        </w:numPr>
        <w:jc w:val="both"/>
        <w:rPr>
          <w:rFonts w:ascii="Tahoma" w:hAnsi="Tahoma" w:cs="Tahoma"/>
        </w:rPr>
      </w:pPr>
      <w:r w:rsidRPr="009E0C83">
        <w:rPr>
          <w:rFonts w:ascii="Tahoma" w:hAnsi="Tahoma" w:cs="Tahoma"/>
        </w:rPr>
        <w:t>Ampliar las oportunidades en el mercado energético mediante la consolidación de nuevos proyectos.</w:t>
      </w:r>
    </w:p>
    <w:p w14:paraId="557A75F7" w14:textId="77777777" w:rsidR="00D60911" w:rsidRPr="009E0C83" w:rsidRDefault="00D60911" w:rsidP="00164509">
      <w:pPr>
        <w:numPr>
          <w:ilvl w:val="0"/>
          <w:numId w:val="160"/>
        </w:numPr>
        <w:jc w:val="both"/>
        <w:rPr>
          <w:rFonts w:ascii="Tahoma" w:hAnsi="Tahoma" w:cs="Tahoma"/>
        </w:rPr>
      </w:pPr>
      <w:r w:rsidRPr="009E0C83">
        <w:rPr>
          <w:rFonts w:ascii="Tahoma" w:hAnsi="Tahoma" w:cs="Tahoma"/>
        </w:rPr>
        <w:t>Apalancar la descarbonización de la industria a través de Soluciones Energéticas Distribuidas (SED)</w:t>
      </w:r>
    </w:p>
    <w:p w14:paraId="560C74F9" w14:textId="77777777" w:rsidR="00D60911" w:rsidRPr="009E0C83" w:rsidRDefault="00D60911" w:rsidP="00D60911">
      <w:pPr>
        <w:jc w:val="both"/>
        <w:rPr>
          <w:rFonts w:ascii="Tahoma" w:hAnsi="Tahoma" w:cs="Tahoma"/>
          <w:b/>
          <w:bCs/>
          <w:sz w:val="36"/>
          <w:szCs w:val="36"/>
        </w:rPr>
      </w:pPr>
      <w:r w:rsidRPr="009E0C83">
        <w:rPr>
          <w:rFonts w:ascii="Tahoma" w:hAnsi="Tahoma" w:cs="Tahoma"/>
          <w:b/>
          <w:bCs/>
          <w:sz w:val="36"/>
          <w:szCs w:val="36"/>
        </w:rPr>
        <w:t>Metas y objetivos alcanzados</w:t>
      </w:r>
    </w:p>
    <w:p w14:paraId="36F0520B" w14:textId="77777777" w:rsidR="00D60911" w:rsidRPr="009E0C83" w:rsidRDefault="00D60911" w:rsidP="00D60911">
      <w:pPr>
        <w:jc w:val="both"/>
        <w:rPr>
          <w:rFonts w:ascii="Tahoma" w:hAnsi="Tahoma" w:cs="Tahoma"/>
        </w:rPr>
      </w:pPr>
      <w:r w:rsidRPr="009E0C83">
        <w:rPr>
          <w:rFonts w:ascii="Tahoma" w:hAnsi="Tahoma" w:cs="Tahoma"/>
        </w:rPr>
        <w:t>Durante el año 2024, TRANSELCA superó la meta de inversión de 35 USD MM, registrando un valor de USD 37.5 MM</w:t>
      </w:r>
      <w:r>
        <w:rPr>
          <w:rFonts w:ascii="Tahoma" w:hAnsi="Tahoma" w:cs="Tahoma"/>
        </w:rPr>
        <w:t>. Asimismo, en 2024 se gestionaron las</w:t>
      </w:r>
      <w:r w:rsidRPr="009E0C83">
        <w:rPr>
          <w:rFonts w:ascii="Tahoma" w:hAnsi="Tahoma" w:cs="Tahoma"/>
        </w:rPr>
        <w:t xml:space="preserve"> firmas de</w:t>
      </w:r>
      <w:r>
        <w:rPr>
          <w:rFonts w:ascii="Tahoma" w:hAnsi="Tahoma" w:cs="Tahoma"/>
        </w:rPr>
        <w:t xml:space="preserve"> los</w:t>
      </w:r>
      <w:r w:rsidRPr="009E0C83">
        <w:rPr>
          <w:rFonts w:ascii="Tahoma" w:hAnsi="Tahoma" w:cs="Tahoma"/>
        </w:rPr>
        <w:t xml:space="preserve"> contratos</w:t>
      </w:r>
      <w:r>
        <w:rPr>
          <w:rFonts w:ascii="Tahoma" w:hAnsi="Tahoma" w:cs="Tahoma"/>
        </w:rPr>
        <w:t>:</w:t>
      </w:r>
    </w:p>
    <w:p w14:paraId="3C8844D1" w14:textId="77777777" w:rsidR="00D60911" w:rsidRPr="009E0C83" w:rsidRDefault="00D60911" w:rsidP="00164509">
      <w:pPr>
        <w:numPr>
          <w:ilvl w:val="0"/>
          <w:numId w:val="161"/>
        </w:numPr>
        <w:jc w:val="both"/>
        <w:rPr>
          <w:rFonts w:ascii="Tahoma" w:hAnsi="Tahoma" w:cs="Tahoma"/>
        </w:rPr>
      </w:pPr>
      <w:r w:rsidRPr="009E0C83">
        <w:rPr>
          <w:rFonts w:ascii="Tahoma" w:hAnsi="Tahoma" w:cs="Tahoma"/>
        </w:rPr>
        <w:t>Conexión Parque Sabanalarga Solar (Guayepo 3) a la Subestación Sabanalarga 500 kV–ENEL.</w:t>
      </w:r>
    </w:p>
    <w:p w14:paraId="52C4D114" w14:textId="77777777" w:rsidR="00D60911" w:rsidRPr="009E0C83" w:rsidRDefault="00D60911" w:rsidP="00164509">
      <w:pPr>
        <w:numPr>
          <w:ilvl w:val="0"/>
          <w:numId w:val="161"/>
        </w:numPr>
        <w:jc w:val="both"/>
        <w:rPr>
          <w:rFonts w:ascii="Tahoma" w:hAnsi="Tahoma" w:cs="Tahoma"/>
        </w:rPr>
      </w:pPr>
      <w:r w:rsidRPr="009E0C83">
        <w:rPr>
          <w:rFonts w:ascii="Tahoma" w:hAnsi="Tahoma" w:cs="Tahoma"/>
        </w:rPr>
        <w:t>Conexión Parque Atlántico Photovoltaic a la Subestación Sabanalarga 500 kV ENEL.</w:t>
      </w:r>
    </w:p>
    <w:p w14:paraId="6395CD39" w14:textId="77777777" w:rsidR="00D60911" w:rsidRPr="009E0C83" w:rsidRDefault="00D60911" w:rsidP="00164509">
      <w:pPr>
        <w:numPr>
          <w:ilvl w:val="0"/>
          <w:numId w:val="161"/>
        </w:numPr>
        <w:jc w:val="both"/>
        <w:rPr>
          <w:rFonts w:ascii="Tahoma" w:hAnsi="Tahoma" w:cs="Tahoma"/>
        </w:rPr>
      </w:pPr>
      <w:r w:rsidRPr="009E0C83">
        <w:rPr>
          <w:rFonts w:ascii="Tahoma" w:hAnsi="Tahoma" w:cs="Tahoma"/>
        </w:rPr>
        <w:t>Conexión Parques Solares Valledupar I, II y III a la Subestación Valledupar 34,5 kV -CELSIA. </w:t>
      </w:r>
    </w:p>
    <w:p w14:paraId="04EEDF33" w14:textId="77777777" w:rsidR="00D60911" w:rsidRPr="009E0C83" w:rsidRDefault="00D60911" w:rsidP="00D60911">
      <w:pPr>
        <w:jc w:val="both"/>
        <w:rPr>
          <w:rFonts w:ascii="Tahoma" w:hAnsi="Tahoma" w:cs="Tahoma"/>
        </w:rPr>
      </w:pPr>
      <w:r>
        <w:rPr>
          <w:rFonts w:ascii="Tahoma" w:hAnsi="Tahoma" w:cs="Tahoma"/>
          <w:b/>
          <w:bCs/>
        </w:rPr>
        <w:t xml:space="preserve">Nota: </w:t>
      </w:r>
      <w:r w:rsidRPr="009E0C83">
        <w:rPr>
          <w:rFonts w:ascii="Tahoma" w:hAnsi="Tahoma" w:cs="Tahoma"/>
        </w:rPr>
        <w:t>Los proyectos: Conexión Parque Sabanalarga Solar y Conexión Parque Atlántico Photovoltaic se reflejan en el balance de ISA.</w:t>
      </w:r>
    </w:p>
    <w:p w14:paraId="5AF552AF" w14:textId="77777777" w:rsidR="00D60911" w:rsidRPr="009E0C83" w:rsidRDefault="00D60911" w:rsidP="00D60911">
      <w:pPr>
        <w:jc w:val="both"/>
        <w:rPr>
          <w:rFonts w:ascii="Tahoma" w:hAnsi="Tahoma" w:cs="Tahoma"/>
        </w:rPr>
      </w:pPr>
      <w:r w:rsidRPr="009E0C83">
        <w:rPr>
          <w:rFonts w:ascii="Tahoma" w:hAnsi="Tahoma" w:cs="Tahoma"/>
        </w:rPr>
        <w:t>Adicionalmente, se destacan las siguientes acciones:</w:t>
      </w:r>
    </w:p>
    <w:p w14:paraId="1071F565" w14:textId="77777777" w:rsidR="00D60911" w:rsidRPr="009E0C83" w:rsidRDefault="00D60911" w:rsidP="00164509">
      <w:pPr>
        <w:numPr>
          <w:ilvl w:val="0"/>
          <w:numId w:val="162"/>
        </w:numPr>
        <w:jc w:val="both"/>
        <w:rPr>
          <w:rFonts w:ascii="Tahoma" w:hAnsi="Tahoma" w:cs="Tahoma"/>
        </w:rPr>
      </w:pPr>
      <w:r w:rsidRPr="009E0C83">
        <w:rPr>
          <w:rFonts w:ascii="Tahoma" w:hAnsi="Tahoma" w:cs="Tahoma"/>
        </w:rPr>
        <w:lastRenderedPageBreak/>
        <w:t>TRANSELCA avanza, junto con ECOPETROL e ISA, en la identificación y elaboración de un portafolio de proyectos de infraestructura de conexión de algunas de sus facilidades al Sistema Interconectado Nacional y proyectos de generación en esquema de autogeneración, así como de almacenamiento. </w:t>
      </w:r>
    </w:p>
    <w:p w14:paraId="7EDFD3CB" w14:textId="77777777" w:rsidR="00D60911" w:rsidRPr="009E0C83" w:rsidRDefault="00D60911" w:rsidP="00164509">
      <w:pPr>
        <w:numPr>
          <w:ilvl w:val="0"/>
          <w:numId w:val="163"/>
        </w:numPr>
        <w:jc w:val="both"/>
        <w:rPr>
          <w:rFonts w:ascii="Tahoma" w:hAnsi="Tahoma" w:cs="Tahoma"/>
        </w:rPr>
      </w:pPr>
      <w:r w:rsidRPr="009E0C83">
        <w:rPr>
          <w:rFonts w:ascii="Tahoma" w:hAnsi="Tahoma" w:cs="Tahoma"/>
        </w:rPr>
        <w:t>Consolidación del equipo de SED, adscrito a la Gerencia B2B, para desarrollar proyectos de generación con fuentes no convencionales de energía en esquema de autogeneración y en los sistemas BESS como complemento. </w:t>
      </w:r>
    </w:p>
    <w:p w14:paraId="6BCD041C" w14:textId="77777777" w:rsidR="00D60911" w:rsidRPr="009E0C83" w:rsidRDefault="00D60911" w:rsidP="00D60911">
      <w:pPr>
        <w:jc w:val="both"/>
        <w:rPr>
          <w:rFonts w:ascii="Tahoma" w:hAnsi="Tahoma" w:cs="Tahoma"/>
          <w:b/>
          <w:bCs/>
          <w:sz w:val="36"/>
          <w:szCs w:val="36"/>
        </w:rPr>
      </w:pPr>
      <w:r w:rsidRPr="009E0C83">
        <w:rPr>
          <w:rFonts w:ascii="Tahoma" w:hAnsi="Tahoma" w:cs="Tahoma"/>
          <w:b/>
          <w:bCs/>
          <w:sz w:val="36"/>
          <w:szCs w:val="36"/>
        </w:rPr>
        <w:t>Lecciones aprendidas</w:t>
      </w:r>
    </w:p>
    <w:p w14:paraId="33239FA2" w14:textId="77777777" w:rsidR="00D60911" w:rsidRPr="00D01FD8" w:rsidRDefault="00D60911" w:rsidP="00D60911">
      <w:pPr>
        <w:jc w:val="both"/>
        <w:rPr>
          <w:rFonts w:ascii="Tahoma" w:hAnsi="Tahoma" w:cs="Tahoma"/>
        </w:rPr>
      </w:pPr>
      <w:r w:rsidRPr="00D01FD8">
        <w:rPr>
          <w:rFonts w:ascii="Tahoma" w:hAnsi="Tahoma" w:cs="Tahoma"/>
        </w:rPr>
        <w:t xml:space="preserve">Como parte del análisis de competitividad en la presentación de ofertas por el servicio de conexión, se evidencia la necesidad de garantizar una adecuada planificación que permita la optimización de recursos y tiempos que mejoren los tiempos de respuesta de cara a los clientes. </w:t>
      </w:r>
    </w:p>
    <w:p w14:paraId="78AFCE42" w14:textId="77777777" w:rsidR="00D60911" w:rsidRPr="009E0C83" w:rsidRDefault="00D60911" w:rsidP="00D60911">
      <w:pPr>
        <w:jc w:val="both"/>
        <w:rPr>
          <w:rFonts w:ascii="Tahoma" w:hAnsi="Tahoma" w:cs="Tahoma"/>
          <w:b/>
          <w:bCs/>
          <w:sz w:val="36"/>
          <w:szCs w:val="36"/>
        </w:rPr>
      </w:pPr>
      <w:r w:rsidRPr="009E0C83">
        <w:rPr>
          <w:rFonts w:ascii="Tahoma" w:hAnsi="Tahoma" w:cs="Tahoma"/>
          <w:b/>
          <w:bCs/>
          <w:sz w:val="36"/>
          <w:szCs w:val="36"/>
        </w:rPr>
        <w:t>¿Cómo se están aplicando?</w:t>
      </w:r>
    </w:p>
    <w:p w14:paraId="0B88B3F7" w14:textId="77777777" w:rsidR="00D60911" w:rsidRPr="009E0C83" w:rsidRDefault="00D60911" w:rsidP="00D60911">
      <w:pPr>
        <w:jc w:val="both"/>
        <w:rPr>
          <w:rFonts w:ascii="Tahoma" w:hAnsi="Tahoma" w:cs="Tahoma"/>
        </w:rPr>
      </w:pPr>
      <w:r w:rsidRPr="009E0C83">
        <w:rPr>
          <w:rFonts w:ascii="Tahoma" w:hAnsi="Tahoma" w:cs="Tahoma"/>
        </w:rPr>
        <w:t>Como resultado de las lecciones aprendidas, se ha integrado la Inteligencia Artificial en el proceso de elaboración de términos de referencia para los proyectos de conexión, lo que optimiza la precisión y eficiencia en la redacción de estos. </w:t>
      </w:r>
    </w:p>
    <w:p w14:paraId="166CB31F" w14:textId="77777777" w:rsidR="00D60911" w:rsidRPr="009E0C83" w:rsidRDefault="00D60911" w:rsidP="00D60911">
      <w:pPr>
        <w:jc w:val="both"/>
        <w:rPr>
          <w:rFonts w:ascii="Tahoma" w:hAnsi="Tahoma" w:cs="Tahoma"/>
          <w:b/>
          <w:bCs/>
          <w:sz w:val="36"/>
          <w:szCs w:val="36"/>
        </w:rPr>
      </w:pPr>
      <w:r w:rsidRPr="009E0C83">
        <w:rPr>
          <w:rFonts w:ascii="Tahoma" w:hAnsi="Tahoma" w:cs="Tahoma"/>
          <w:b/>
          <w:bCs/>
          <w:sz w:val="36"/>
          <w:szCs w:val="36"/>
        </w:rPr>
        <w:t>Comunicación con los grupos de interés</w:t>
      </w:r>
    </w:p>
    <w:p w14:paraId="63205C10" w14:textId="77777777" w:rsidR="00D60911" w:rsidRPr="009E0C83" w:rsidRDefault="00D60911" w:rsidP="00D60911">
      <w:pPr>
        <w:jc w:val="both"/>
        <w:rPr>
          <w:rFonts w:ascii="Tahoma" w:hAnsi="Tahoma" w:cs="Tahoma"/>
        </w:rPr>
      </w:pPr>
      <w:r w:rsidRPr="009E0C83">
        <w:rPr>
          <w:rFonts w:ascii="Tahoma" w:hAnsi="Tahoma" w:cs="Tahoma"/>
        </w:rPr>
        <w:t>Previo a la fecha de puesta en servicio de los proyectos, se diseñaron planes de acción con el objetivo de socializar adecuadamente las iniciativas con los grupos de interés, asegurando su compromiso y comprensión sobre las actividades a ejecutar.</w:t>
      </w:r>
    </w:p>
    <w:p w14:paraId="6B78CDAB" w14:textId="01C18ADD" w:rsidR="00D60911" w:rsidRPr="00D60911" w:rsidRDefault="00D60911" w:rsidP="00D60911">
      <w:pPr>
        <w:jc w:val="both"/>
        <w:rPr>
          <w:rFonts w:ascii="Tahoma" w:hAnsi="Tahoma" w:cs="Tahoma"/>
          <w:b/>
          <w:bCs/>
          <w:color w:val="0070C0"/>
          <w:sz w:val="36"/>
          <w:szCs w:val="36"/>
        </w:rPr>
      </w:pPr>
      <w:r w:rsidRPr="00D60911">
        <w:rPr>
          <w:rFonts w:ascii="Tahoma" w:hAnsi="Tahoma" w:cs="Tahoma"/>
          <w:b/>
          <w:bCs/>
          <w:color w:val="0070C0"/>
          <w:sz w:val="36"/>
          <w:szCs w:val="36"/>
        </w:rPr>
        <w:t>Otras acciones que apalancan la Estrategia adecuada de crecimiento desde TI y TO</w:t>
      </w:r>
    </w:p>
    <w:p w14:paraId="1476FCA1" w14:textId="77777777" w:rsidR="00D60911" w:rsidRPr="00D60911" w:rsidRDefault="00D60911" w:rsidP="00164509">
      <w:pPr>
        <w:numPr>
          <w:ilvl w:val="0"/>
          <w:numId w:val="167"/>
        </w:numPr>
        <w:jc w:val="both"/>
        <w:rPr>
          <w:rFonts w:ascii="Tahoma" w:hAnsi="Tahoma" w:cs="Tahoma"/>
        </w:rPr>
      </w:pPr>
      <w:r w:rsidRPr="00D60911">
        <w:rPr>
          <w:rFonts w:ascii="Tahoma" w:hAnsi="Tahoma" w:cs="Tahoma"/>
        </w:rPr>
        <w:t>Se realizó la implementación del modelo de inteligencia artificial generativa para la elaboración autónoma de especificaciones técnicas de proyectos de infraestructura, reduciendo el tiempo promedio de 30 a 7 días hábiles.</w:t>
      </w:r>
    </w:p>
    <w:p w14:paraId="33C6685B"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Se desplego el programa de innovación y agilidad (Scrum).</w:t>
      </w:r>
    </w:p>
    <w:p w14:paraId="5D9E49EB"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Inicio implementación herramienta de Movilidad SE beneficiando a las empresas de ISA REP, INTERCOLOMBIA y TRANSELCA.</w:t>
      </w:r>
    </w:p>
    <w:p w14:paraId="1C869490"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Fortalecimiento de la cultura de ciberseguridad:</w:t>
      </w:r>
    </w:p>
    <w:p w14:paraId="71FE2A22"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lastRenderedPageBreak/>
        <w:t>Participación en la semana integral mediante:</w:t>
      </w:r>
    </w:p>
    <w:p w14:paraId="3EA341AE" w14:textId="77777777" w:rsidR="00D60911" w:rsidRPr="00D60911" w:rsidRDefault="00D60911" w:rsidP="00164509">
      <w:pPr>
        <w:numPr>
          <w:ilvl w:val="2"/>
          <w:numId w:val="167"/>
        </w:numPr>
        <w:jc w:val="both"/>
        <w:rPr>
          <w:rFonts w:ascii="Tahoma" w:hAnsi="Tahoma" w:cs="Tahoma"/>
        </w:rPr>
      </w:pPr>
      <w:r w:rsidRPr="00D60911">
        <w:rPr>
          <w:rFonts w:ascii="Tahoma" w:hAnsi="Tahoma" w:cs="Tahoma"/>
          <w:lang w:val="es-MX"/>
        </w:rPr>
        <w:t xml:space="preserve">Stand de ciberseguridad y aplicación de encuesta con un </w:t>
      </w:r>
      <w:r w:rsidRPr="00D60911">
        <w:rPr>
          <w:rFonts w:ascii="Tahoma" w:hAnsi="Tahoma" w:cs="Tahoma"/>
        </w:rPr>
        <w:t>98.68%</w:t>
      </w:r>
      <w:r w:rsidRPr="00D60911">
        <w:rPr>
          <w:rFonts w:ascii="Tahoma" w:hAnsi="Tahoma" w:cs="Tahoma"/>
          <w:lang w:val="es-MX"/>
        </w:rPr>
        <w:t xml:space="preserve"> de participación</w:t>
      </w:r>
    </w:p>
    <w:p w14:paraId="181B7646" w14:textId="77777777" w:rsidR="00D60911" w:rsidRPr="00D60911" w:rsidRDefault="00D60911" w:rsidP="00164509">
      <w:pPr>
        <w:numPr>
          <w:ilvl w:val="2"/>
          <w:numId w:val="167"/>
        </w:numPr>
        <w:jc w:val="both"/>
        <w:rPr>
          <w:rFonts w:ascii="Tahoma" w:hAnsi="Tahoma" w:cs="Tahoma"/>
        </w:rPr>
      </w:pPr>
      <w:r w:rsidRPr="00D60911">
        <w:rPr>
          <w:rFonts w:ascii="Tahoma" w:hAnsi="Tahoma" w:cs="Tahoma"/>
          <w:lang w:val="es-MX"/>
        </w:rPr>
        <w:t>Panel “Aprendamos del error”</w:t>
      </w:r>
    </w:p>
    <w:p w14:paraId="70950889" w14:textId="77777777" w:rsidR="00D60911" w:rsidRPr="00D60911" w:rsidRDefault="00D60911" w:rsidP="00164509">
      <w:pPr>
        <w:numPr>
          <w:ilvl w:val="2"/>
          <w:numId w:val="167"/>
        </w:numPr>
        <w:jc w:val="both"/>
        <w:rPr>
          <w:rFonts w:ascii="Tahoma" w:hAnsi="Tahoma" w:cs="Tahoma"/>
        </w:rPr>
      </w:pPr>
      <w:r w:rsidRPr="00D60911">
        <w:rPr>
          <w:rFonts w:ascii="Tahoma" w:hAnsi="Tahoma" w:cs="Tahoma"/>
          <w:lang w:val="es-MX"/>
        </w:rPr>
        <w:t>Socialización y configuración de la App “Now Mobile”</w:t>
      </w:r>
    </w:p>
    <w:p w14:paraId="207556F3"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t>Realización de 2 ejercicios de phishing a toda la organización</w:t>
      </w:r>
    </w:p>
    <w:p w14:paraId="50956066"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Homologación de Prácticas en Infraestructura con el nodo:</w:t>
      </w:r>
    </w:p>
    <w:p w14:paraId="0DA004C5"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t>Entrega de la administración del directorio activo</w:t>
      </w:r>
    </w:p>
    <w:p w14:paraId="4EE3B9A1"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t>Entrega de redes a CAU Redes</w:t>
      </w:r>
    </w:p>
    <w:p w14:paraId="11553AF2"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t>Migración a Microsoft Defender Endpoint (MDE)</w:t>
      </w:r>
    </w:p>
    <w:p w14:paraId="0DC30725" w14:textId="77777777" w:rsidR="00D60911" w:rsidRPr="00D60911" w:rsidRDefault="00D60911" w:rsidP="00164509">
      <w:pPr>
        <w:numPr>
          <w:ilvl w:val="1"/>
          <w:numId w:val="167"/>
        </w:numPr>
        <w:jc w:val="both"/>
        <w:rPr>
          <w:rFonts w:ascii="Tahoma" w:hAnsi="Tahoma" w:cs="Tahoma"/>
        </w:rPr>
      </w:pPr>
      <w:r w:rsidRPr="00D60911">
        <w:rPr>
          <w:rFonts w:ascii="Tahoma" w:hAnsi="Tahoma" w:cs="Tahoma"/>
          <w:lang w:val="es-MX"/>
        </w:rPr>
        <w:t>Controles SOX Directorio Activo</w:t>
      </w:r>
    </w:p>
    <w:p w14:paraId="0DF5D6E2"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Implementación de monitoreo y seguimiento para la seguridad de equipos de TO (Portable Security).</w:t>
      </w:r>
    </w:p>
    <w:p w14:paraId="2B4157AC"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Renovación de estaciones y periféricos de usuario final.</w:t>
      </w:r>
    </w:p>
    <w:p w14:paraId="04CD2479"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Implementación de herramientas corporativas para mejorar la gestión de ciberseguridad (Antigena, LUMU, SOAR)</w:t>
      </w:r>
    </w:p>
    <w:p w14:paraId="4CFCF845"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Implementación de Sondas TO en subestaciones.</w:t>
      </w:r>
    </w:p>
    <w:p w14:paraId="1FCD3F64"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Potencialización y renovación de equipos operativos de subestaciones (PCs de gestión)</w:t>
      </w:r>
    </w:p>
    <w:p w14:paraId="2005AE61"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Implementación de tecnologías de videoconferencias en oficinas de directivos y sala móvil.</w:t>
      </w:r>
    </w:p>
    <w:p w14:paraId="14FF8AEB"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 xml:space="preserve">Actualización de infraestructura de sistemas de servicio a la operación (calidad de potencia, SGP) </w:t>
      </w:r>
    </w:p>
    <w:p w14:paraId="2A811E62"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Optimización de procesos de gestión documental (Tablas de retención documental, índice electrónico, memorandos, transferencias y prestamos de documentos)</w:t>
      </w:r>
    </w:p>
    <w:p w14:paraId="3677543E"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t>Se liberaron 271 horas/hombres mensuales mediante el desarrollo de 24 automatizaciones.</w:t>
      </w:r>
    </w:p>
    <w:p w14:paraId="1AE7A2AC" w14:textId="77777777" w:rsidR="00D60911" w:rsidRPr="00D60911" w:rsidRDefault="00D60911" w:rsidP="00164509">
      <w:pPr>
        <w:numPr>
          <w:ilvl w:val="0"/>
          <w:numId w:val="167"/>
        </w:numPr>
        <w:jc w:val="both"/>
        <w:rPr>
          <w:rFonts w:ascii="Tahoma" w:hAnsi="Tahoma" w:cs="Tahoma"/>
        </w:rPr>
      </w:pPr>
      <w:r w:rsidRPr="00D60911">
        <w:rPr>
          <w:rFonts w:ascii="Tahoma" w:hAnsi="Tahoma" w:cs="Tahoma"/>
          <w:lang w:val="es-MX"/>
        </w:rPr>
        <w:lastRenderedPageBreak/>
        <w:t>Se desarrollaron dos tableros de analítica para mejorar la gestión en Talento Humano y Abastecimiento, integrando datos de múltiples fuentes.</w:t>
      </w:r>
    </w:p>
    <w:p w14:paraId="43585349" w14:textId="77777777" w:rsidR="00D60911" w:rsidRPr="00C03275" w:rsidRDefault="00D60911" w:rsidP="00D60911">
      <w:pPr>
        <w:jc w:val="both"/>
        <w:rPr>
          <w:rFonts w:ascii="Tahoma" w:hAnsi="Tahoma" w:cs="Tahoma"/>
        </w:rPr>
      </w:pPr>
    </w:p>
    <w:p w14:paraId="6F7F080C" w14:textId="77777777" w:rsidR="00D60911" w:rsidRPr="00D60911" w:rsidRDefault="00D60911">
      <w:pPr>
        <w:rPr>
          <w:rFonts w:ascii="Calibri" w:hAnsi="Calibri" w:cs="Calibri"/>
          <w:sz w:val="52"/>
          <w:szCs w:val="52"/>
        </w:rPr>
      </w:pPr>
    </w:p>
    <w:p w14:paraId="07701B04" w14:textId="77777777" w:rsidR="00D60911" w:rsidRDefault="00D60911">
      <w:pPr>
        <w:rPr>
          <w:rFonts w:ascii="Calibri" w:hAnsi="Calibri" w:cs="Calibri"/>
          <w:sz w:val="52"/>
          <w:szCs w:val="52"/>
          <w:lang w:val="es-ES"/>
        </w:rPr>
      </w:pPr>
    </w:p>
    <w:p w14:paraId="34C13C00" w14:textId="77777777" w:rsidR="0099546A" w:rsidRDefault="0099546A">
      <w:pPr>
        <w:rPr>
          <w:rFonts w:ascii="Calibri" w:hAnsi="Calibri" w:cs="Calibri"/>
          <w:sz w:val="52"/>
          <w:szCs w:val="52"/>
          <w:lang w:val="es-ES"/>
        </w:rPr>
      </w:pPr>
    </w:p>
    <w:p w14:paraId="2C21082C" w14:textId="77777777" w:rsidR="0099546A" w:rsidRDefault="0099546A">
      <w:pPr>
        <w:rPr>
          <w:rFonts w:ascii="Calibri" w:hAnsi="Calibri" w:cs="Calibri"/>
          <w:sz w:val="52"/>
          <w:szCs w:val="52"/>
          <w:lang w:val="es-ES"/>
        </w:rPr>
      </w:pPr>
    </w:p>
    <w:p w14:paraId="7C514B65" w14:textId="77777777" w:rsidR="0099546A" w:rsidRDefault="0099546A">
      <w:pPr>
        <w:rPr>
          <w:rFonts w:ascii="Calibri" w:hAnsi="Calibri" w:cs="Calibri"/>
          <w:sz w:val="52"/>
          <w:szCs w:val="52"/>
          <w:lang w:val="es-ES"/>
        </w:rPr>
      </w:pPr>
    </w:p>
    <w:p w14:paraId="104F7F06" w14:textId="77777777" w:rsidR="0099546A" w:rsidRDefault="0099546A">
      <w:pPr>
        <w:rPr>
          <w:rFonts w:ascii="Calibri" w:hAnsi="Calibri" w:cs="Calibri"/>
          <w:sz w:val="52"/>
          <w:szCs w:val="52"/>
          <w:lang w:val="es-ES"/>
        </w:rPr>
      </w:pPr>
    </w:p>
    <w:p w14:paraId="57A76CC5" w14:textId="77777777" w:rsidR="0099546A" w:rsidRDefault="0099546A">
      <w:pPr>
        <w:rPr>
          <w:rFonts w:ascii="Calibri" w:hAnsi="Calibri" w:cs="Calibri"/>
          <w:sz w:val="52"/>
          <w:szCs w:val="52"/>
          <w:lang w:val="es-ES"/>
        </w:rPr>
      </w:pPr>
    </w:p>
    <w:p w14:paraId="79E4D182" w14:textId="77777777" w:rsidR="0099546A" w:rsidRDefault="0099546A">
      <w:pPr>
        <w:rPr>
          <w:rFonts w:ascii="Calibri" w:hAnsi="Calibri" w:cs="Calibri"/>
          <w:sz w:val="52"/>
          <w:szCs w:val="52"/>
          <w:lang w:val="es-ES"/>
        </w:rPr>
      </w:pPr>
    </w:p>
    <w:p w14:paraId="69524689" w14:textId="77777777" w:rsidR="0099546A" w:rsidRDefault="0099546A">
      <w:pPr>
        <w:rPr>
          <w:rFonts w:ascii="Calibri" w:hAnsi="Calibri" w:cs="Calibri"/>
          <w:sz w:val="52"/>
          <w:szCs w:val="52"/>
          <w:lang w:val="es-ES"/>
        </w:rPr>
      </w:pPr>
    </w:p>
    <w:p w14:paraId="2199FFBA" w14:textId="77777777" w:rsidR="0099546A" w:rsidRDefault="0099546A">
      <w:pPr>
        <w:rPr>
          <w:rFonts w:ascii="Calibri" w:hAnsi="Calibri" w:cs="Calibri"/>
          <w:sz w:val="52"/>
          <w:szCs w:val="52"/>
          <w:lang w:val="es-ES"/>
        </w:rPr>
      </w:pPr>
    </w:p>
    <w:p w14:paraId="6A4BD862" w14:textId="77777777" w:rsidR="00164509" w:rsidRDefault="00164509" w:rsidP="00164509">
      <w:pPr>
        <w:spacing w:line="240" w:lineRule="auto"/>
        <w:jc w:val="both"/>
        <w:rPr>
          <w:rFonts w:ascii="Calibri" w:hAnsi="Calibri" w:cs="Calibri"/>
          <w:sz w:val="52"/>
          <w:szCs w:val="52"/>
          <w:lang w:val="es-ES"/>
        </w:rPr>
      </w:pPr>
    </w:p>
    <w:p w14:paraId="0E6CC285" w14:textId="77777777" w:rsidR="0099546A" w:rsidRDefault="0099546A">
      <w:pPr>
        <w:rPr>
          <w:rFonts w:ascii="Calibri" w:hAnsi="Calibri" w:cs="Calibri"/>
          <w:sz w:val="52"/>
          <w:szCs w:val="52"/>
          <w:lang w:val="es-ES"/>
        </w:rPr>
      </w:pPr>
    </w:p>
    <w:p w14:paraId="340997BE" w14:textId="77777777" w:rsidR="0099546A" w:rsidRDefault="0099546A">
      <w:pPr>
        <w:rPr>
          <w:rFonts w:ascii="Calibri" w:hAnsi="Calibri" w:cs="Calibri"/>
          <w:sz w:val="52"/>
          <w:szCs w:val="52"/>
          <w:lang w:val="es-ES"/>
        </w:rPr>
      </w:pPr>
    </w:p>
    <w:p w14:paraId="01E3992A" w14:textId="77777777" w:rsidR="00720212" w:rsidRDefault="0031711E" w:rsidP="00720212">
      <w:pPr>
        <w:rPr>
          <w:rFonts w:ascii="Calibri" w:hAnsi="Calibri" w:cs="Calibri"/>
          <w:sz w:val="52"/>
          <w:szCs w:val="52"/>
          <w:lang w:val="es-ES"/>
        </w:rPr>
      </w:pPr>
      <w:bookmarkStart w:id="12" w:name="ASUNTOSMATERIALESSOCIALES"/>
      <w:r>
        <w:rPr>
          <w:rFonts w:ascii="Calibri" w:hAnsi="Calibri" w:cs="Calibri"/>
          <w:noProof/>
          <w:sz w:val="52"/>
          <w:szCs w:val="52"/>
          <w:lang w:val="es-ES"/>
        </w:rPr>
        <w:drawing>
          <wp:inline distT="0" distB="0" distL="0" distR="0" wp14:anchorId="393970AA" wp14:editId="34E64EC1">
            <wp:extent cx="5612130" cy="7262495"/>
            <wp:effectExtent l="0" t="0" r="1270" b="1905"/>
            <wp:docPr id="201699218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92188" name="Imagen 201699218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12"/>
    </w:p>
    <w:p w14:paraId="6B6A6EDA" w14:textId="137792B0" w:rsidR="006C5A8B" w:rsidRPr="00663570" w:rsidRDefault="006C5A8B" w:rsidP="00720212">
      <w:pPr>
        <w:rPr>
          <w:rFonts w:ascii="Calibri" w:hAnsi="Calibri" w:cs="Calibri"/>
          <w:color w:val="0070C0"/>
          <w:sz w:val="36"/>
          <w:szCs w:val="36"/>
          <w:lang w:val="es-ES"/>
        </w:rPr>
      </w:pPr>
      <w:r w:rsidRPr="00663570">
        <w:rPr>
          <w:rFonts w:ascii="Tahoma" w:eastAsia="Tahoma" w:hAnsi="Tahoma" w:cs="Tahoma"/>
          <w:b/>
          <w:color w:val="0070C0"/>
          <w:kern w:val="0"/>
          <w:sz w:val="36"/>
          <w:szCs w:val="36"/>
          <w:lang w:val="es-ES" w:eastAsia="es-CO"/>
          <w14:ligatures w14:val="none"/>
        </w:rPr>
        <w:lastRenderedPageBreak/>
        <w:t>Seguridad y salud en el trabajo para empleados directos e indirectos</w:t>
      </w:r>
    </w:p>
    <w:p w14:paraId="6D2B93D5"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3BD34F23" w14:textId="77777777" w:rsidR="006C5A8B" w:rsidRPr="006C5A8B" w:rsidRDefault="006C5A8B" w:rsidP="006C5A8B">
      <w:pPr>
        <w:spacing w:after="0" w:line="240" w:lineRule="auto"/>
        <w:jc w:val="both"/>
        <w:rPr>
          <w:rFonts w:ascii="Tahoma" w:eastAsia="Tahoma" w:hAnsi="Tahoma" w:cs="Tahoma"/>
          <w:kern w:val="0"/>
          <w:sz w:val="32"/>
          <w:szCs w:val="32"/>
          <w:lang w:val="es-ES" w:eastAsia="es-CO"/>
          <w14:ligatures w14:val="none"/>
        </w:rPr>
      </w:pPr>
      <w:r w:rsidRPr="006C5A8B">
        <w:rPr>
          <w:rFonts w:ascii="Tahoma" w:eastAsia="Tahoma" w:hAnsi="Tahoma" w:cs="Tahoma"/>
          <w:b/>
          <w:kern w:val="0"/>
          <w:sz w:val="32"/>
          <w:szCs w:val="32"/>
          <w:lang w:val="es-ES" w:eastAsia="es-CO"/>
          <w14:ligatures w14:val="none"/>
        </w:rPr>
        <w:t>Dimensión:</w:t>
      </w:r>
      <w:r w:rsidRPr="006C5A8B">
        <w:rPr>
          <w:rFonts w:ascii="Tahoma" w:eastAsia="Tahoma" w:hAnsi="Tahoma" w:cs="Tahoma"/>
          <w:kern w:val="0"/>
          <w:sz w:val="32"/>
          <w:szCs w:val="32"/>
          <w:lang w:val="es-ES" w:eastAsia="es-CO"/>
          <w14:ligatures w14:val="none"/>
        </w:rPr>
        <w:t xml:space="preserve"> </w:t>
      </w:r>
      <w:r w:rsidRPr="006C5A8B">
        <w:rPr>
          <w:rFonts w:ascii="Tahoma" w:eastAsia="Tahoma" w:hAnsi="Tahoma" w:cs="Tahoma"/>
          <w:b/>
          <w:kern w:val="0"/>
          <w:sz w:val="32"/>
          <w:szCs w:val="32"/>
          <w:lang w:val="es-ES" w:eastAsia="es-CO"/>
          <w14:ligatures w14:val="none"/>
        </w:rPr>
        <w:t>Atracción, desarrollo y cuidado del mejor talento humano.</w:t>
      </w:r>
    </w:p>
    <w:p w14:paraId="348FB5D3" w14:textId="77777777" w:rsidR="006C5A8B" w:rsidRPr="006C5A8B" w:rsidRDefault="006C5A8B" w:rsidP="006C5A8B">
      <w:pPr>
        <w:spacing w:after="240" w:line="240" w:lineRule="auto"/>
        <w:jc w:val="both"/>
        <w:rPr>
          <w:rFonts w:ascii="Tahoma" w:eastAsia="Tahoma" w:hAnsi="Tahoma" w:cs="Tahoma"/>
          <w:kern w:val="0"/>
          <w:sz w:val="32"/>
          <w:szCs w:val="32"/>
          <w:lang w:val="es-ES" w:eastAsia="es-CO"/>
          <w14:ligatures w14:val="none"/>
        </w:rPr>
      </w:pPr>
      <w:r w:rsidRPr="006C5A8B">
        <w:rPr>
          <w:rFonts w:ascii="Tahoma" w:eastAsia="Tahoma" w:hAnsi="Tahoma" w:cs="Tahoma"/>
          <w:b/>
          <w:kern w:val="0"/>
          <w:sz w:val="32"/>
          <w:szCs w:val="32"/>
          <w:lang w:val="es-ES" w:eastAsia="es-CO"/>
          <w14:ligatures w14:val="none"/>
        </w:rPr>
        <w:t>ODS:</w:t>
      </w:r>
    </w:p>
    <w:p w14:paraId="083F3DC4" w14:textId="77777777" w:rsidR="006C5A8B" w:rsidRPr="006C5A8B" w:rsidRDefault="006C5A8B" w:rsidP="006C5A8B">
      <w:pPr>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28"/>
          <w:szCs w:val="28"/>
          <w:lang w:val="es-ES" w:eastAsia="es-CO"/>
          <w14:ligatures w14:val="none"/>
        </w:rPr>
        <w:t> </w:t>
      </w:r>
      <w:r w:rsidRPr="006C5A8B">
        <w:rPr>
          <w:rFonts w:ascii="Tahoma" w:eastAsia="Tahoma" w:hAnsi="Tahoma" w:cs="Tahoma"/>
          <w:b/>
          <w:noProof/>
          <w:kern w:val="0"/>
          <w:sz w:val="28"/>
          <w:szCs w:val="28"/>
          <w:lang w:eastAsia="es-CO"/>
          <w14:ligatures w14:val="none"/>
        </w:rPr>
        <w:drawing>
          <wp:inline distT="0" distB="0" distL="0" distR="0" wp14:anchorId="31F4CFD6" wp14:editId="17D60675">
            <wp:extent cx="962025" cy="952500"/>
            <wp:effectExtent l="0" t="0" r="0" b="0"/>
            <wp:docPr id="495802591" name="image1.png" descr="Imagen que contiene señal, dibujo, pelo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magen que contiene señal, dibujo, pelota&#10;&#10;Descripción generada automáticamente"/>
                    <pic:cNvPicPr preferRelativeResize="0"/>
                  </pic:nvPicPr>
                  <pic:blipFill>
                    <a:blip r:embed="rId35"/>
                    <a:srcRect/>
                    <a:stretch>
                      <a:fillRect/>
                    </a:stretch>
                  </pic:blipFill>
                  <pic:spPr>
                    <a:xfrm>
                      <a:off x="0" y="0"/>
                      <a:ext cx="962025" cy="952500"/>
                    </a:xfrm>
                    <a:prstGeom prst="rect">
                      <a:avLst/>
                    </a:prstGeom>
                    <a:ln/>
                  </pic:spPr>
                </pic:pic>
              </a:graphicData>
            </a:graphic>
          </wp:inline>
        </w:drawing>
      </w:r>
      <w:r w:rsidRPr="006C5A8B">
        <w:rPr>
          <w:rFonts w:ascii="Tahoma" w:eastAsia="Tahoma" w:hAnsi="Tahoma" w:cs="Tahoma"/>
          <w:b/>
          <w:kern w:val="0"/>
          <w:sz w:val="28"/>
          <w:szCs w:val="28"/>
          <w:lang w:val="es-ES" w:eastAsia="es-CO"/>
          <w14:ligatures w14:val="none"/>
        </w:rPr>
        <w:t xml:space="preserve">  </w:t>
      </w:r>
      <w:r w:rsidRPr="006C5A8B">
        <w:rPr>
          <w:rFonts w:ascii="Tahoma" w:eastAsia="Tahoma" w:hAnsi="Tahoma" w:cs="Tahoma"/>
          <w:kern w:val="0"/>
          <w:sz w:val="28"/>
          <w:szCs w:val="28"/>
          <w:lang w:val="es-ES" w:eastAsia="es-CO"/>
          <w14:ligatures w14:val="none"/>
        </w:rPr>
        <w:br/>
      </w:r>
      <w:r w:rsidRPr="006C5A8B">
        <w:rPr>
          <w:rFonts w:ascii="Tahoma" w:eastAsia="Tahoma" w:hAnsi="Tahoma" w:cs="Tahoma"/>
          <w:b/>
          <w:kern w:val="0"/>
          <w:lang w:val="es-ES" w:eastAsia="es-CO"/>
          <w14:ligatures w14:val="none"/>
        </w:rPr>
        <w:t>  </w:t>
      </w:r>
    </w:p>
    <w:p w14:paraId="7D314112" w14:textId="77777777" w:rsidR="006C5A8B" w:rsidRPr="00E05B53" w:rsidRDefault="006C5A8B" w:rsidP="006C5A8B">
      <w:pPr>
        <w:spacing w:before="240" w:after="240" w:line="240" w:lineRule="auto"/>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Gestión asunto material</w:t>
      </w:r>
    </w:p>
    <w:p w14:paraId="659A4A92"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Este asunto material priorizado cuenta con una relevancia significativa para los grupos de interés y TRANSELCA otorgándole una importancia relevante a la gestión de los temas relacionados con la Seguridad y Salud de los trabajadores propios e indirectos. </w:t>
      </w:r>
    </w:p>
    <w:p w14:paraId="6B2BA69E"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p>
    <w:p w14:paraId="04A3E49A"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Entre sus procedimientos TRANSELCA cuenta con la Política de Salud y Seguridad en el Trabajo (SST) que cubre los siguientes aspectos y compromisos:</w:t>
      </w:r>
    </w:p>
    <w:p w14:paraId="1E859C53" w14:textId="77777777" w:rsidR="006C5A8B" w:rsidRPr="006C5A8B" w:rsidRDefault="006C5A8B" w:rsidP="00AC1146">
      <w:pPr>
        <w:numPr>
          <w:ilvl w:val="0"/>
          <w:numId w:val="79"/>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Aplicabilidad a todas las operaciones y empleados de la empresa, así como a los contratistas y personas bajo su supervisión.</w:t>
      </w:r>
    </w:p>
    <w:p w14:paraId="06CACE5C" w14:textId="77777777" w:rsidR="006C5A8B" w:rsidRPr="006C5A8B" w:rsidRDefault="006C5A8B" w:rsidP="00AC1146">
      <w:pPr>
        <w:numPr>
          <w:ilvl w:val="0"/>
          <w:numId w:val="79"/>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Cumplimiento de las normas y reglamentos internacionales de SST, así como de programas voluntarios y convenios colectivos relacionados.</w:t>
      </w:r>
    </w:p>
    <w:p w14:paraId="2D5B475C" w14:textId="77777777" w:rsidR="006C5A8B" w:rsidRPr="006C5A8B" w:rsidRDefault="006C5A8B" w:rsidP="00AC1146">
      <w:pPr>
        <w:numPr>
          <w:ilvl w:val="0"/>
          <w:numId w:val="79"/>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Consulta y participación de los trabajadores y, cuando aplica, de sus representantes.</w:t>
      </w:r>
    </w:p>
    <w:p w14:paraId="21CD672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 2024 la empresa mantuvo el compromiso de mejorar continuamente el desempeño del Sistema de Gestión de Salud y Seguridad en el Trabajo, (SGSST) y se establecieron prioridades y planes de acción, junto con objetivos cuantitativos para optimizar los indicadores de desempeño en SST.</w:t>
      </w:r>
    </w:p>
    <w:p w14:paraId="5FFABE4C"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p>
    <w:p w14:paraId="31634ADE"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La principal estrategia para promover ambientes de trabajo saludables es fortalecer la cultura de autocuidado, implementando prácticas seguras que actúen en la prevención de estos riesgos.</w:t>
      </w:r>
    </w:p>
    <w:p w14:paraId="493BF7A5"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C985C58"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Para ello, la compañía dedica esfuerzos en capacitación, campañas de sensibilización, divulgación de información clave, fortalecimiento del Comité de SST e implementación de tecnologías asociadas a la prevención de riesgos, entre otros.</w:t>
      </w:r>
    </w:p>
    <w:p w14:paraId="1C1B68EC"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6294EE1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El Sistema de Gestión de SST cuenta con la certificación requerida en la norma ISO 45001 y el alcance de su cobertura incluye a todos los trabajadores y sedes de TRANSELCA. Su evaluación y seguimiento se lleva a cabo con:</w:t>
      </w:r>
    </w:p>
    <w:p w14:paraId="067FBA36" w14:textId="77777777" w:rsidR="006C5A8B" w:rsidRPr="006C5A8B" w:rsidRDefault="006C5A8B" w:rsidP="00AC1146">
      <w:pPr>
        <w:numPr>
          <w:ilvl w:val="0"/>
          <w:numId w:val="80"/>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Revisión gerencial del SGSST.</w:t>
      </w:r>
    </w:p>
    <w:p w14:paraId="6D175DC4" w14:textId="77777777" w:rsidR="006C5A8B" w:rsidRPr="006C5A8B" w:rsidRDefault="006C5A8B" w:rsidP="00AC1146">
      <w:pPr>
        <w:numPr>
          <w:ilvl w:val="0"/>
          <w:numId w:val="80"/>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Auditorías Internas.</w:t>
      </w:r>
    </w:p>
    <w:p w14:paraId="3475123A" w14:textId="77777777" w:rsidR="006C5A8B" w:rsidRPr="006C5A8B" w:rsidRDefault="006C5A8B" w:rsidP="00AC1146">
      <w:pPr>
        <w:numPr>
          <w:ilvl w:val="0"/>
          <w:numId w:val="80"/>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Auditoría Externa.</w:t>
      </w:r>
    </w:p>
    <w:p w14:paraId="0A4915D0"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Elementos cubiertos por el sistema de SST </w:t>
      </w:r>
    </w:p>
    <w:p w14:paraId="30D67EC4" w14:textId="77777777" w:rsidR="006C5A8B" w:rsidRPr="006C5A8B" w:rsidRDefault="006C5A8B" w:rsidP="00AC1146">
      <w:pPr>
        <w:numPr>
          <w:ilvl w:val="0"/>
          <w:numId w:val="81"/>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Evaluaciones de riesgos y peligros en materia de salud y seguridad en el trabajo para identificar lo que podría causar daños en el lugar de trabajo.</w:t>
      </w:r>
    </w:p>
    <w:p w14:paraId="2FC9F381" w14:textId="77777777" w:rsidR="006C5A8B" w:rsidRPr="006C5A8B" w:rsidRDefault="006C5A8B" w:rsidP="00AC1146">
      <w:pPr>
        <w:numPr>
          <w:ilvl w:val="0"/>
          <w:numId w:val="8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Priorización e integración de planes de acción con objetivos cuantificados para abordar esos riesgos.</w:t>
      </w:r>
    </w:p>
    <w:p w14:paraId="718F6E95" w14:textId="77777777" w:rsidR="006C5A8B" w:rsidRPr="006C5A8B" w:rsidRDefault="006C5A8B" w:rsidP="00AC1146">
      <w:pPr>
        <w:numPr>
          <w:ilvl w:val="0"/>
          <w:numId w:val="8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Integración de acciones para prepararse y responder ante situaciones de emergencia.</w:t>
      </w:r>
    </w:p>
    <w:p w14:paraId="2692385A" w14:textId="77777777" w:rsidR="006C5A8B" w:rsidRPr="006C5A8B" w:rsidRDefault="006C5A8B" w:rsidP="00AC1146">
      <w:pPr>
        <w:numPr>
          <w:ilvl w:val="0"/>
          <w:numId w:val="8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Evaluación del progreso en la reducción, prevención de problemas y riesgos de salud en relación con los objetivos.</w:t>
      </w:r>
    </w:p>
    <w:p w14:paraId="52888FAA" w14:textId="77777777" w:rsidR="006C5A8B" w:rsidRPr="006C5A8B" w:rsidRDefault="006C5A8B" w:rsidP="00AC1146">
      <w:pPr>
        <w:numPr>
          <w:ilvl w:val="0"/>
          <w:numId w:val="8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Procedimientos para investigar lesiones, enfermedades, problemas de salud e incidentes relacionados con el trabajo.</w:t>
      </w:r>
    </w:p>
    <w:p w14:paraId="5BFC44B9" w14:textId="77777777" w:rsidR="006C5A8B" w:rsidRPr="006C5A8B" w:rsidRDefault="006C5A8B" w:rsidP="00AC1146">
      <w:pPr>
        <w:numPr>
          <w:ilvl w:val="0"/>
          <w:numId w:val="8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Capacitación en materia de salud y seguridad en el trabajo brindada a los empleados y/u otras partes relevantes para generar conciencia y reducir los incidentes de salud y seguridad operacional.</w:t>
      </w:r>
    </w:p>
    <w:p w14:paraId="77E5507C" w14:textId="77777777" w:rsidR="006C5A8B" w:rsidRPr="006C5A8B" w:rsidRDefault="006C5A8B" w:rsidP="00AC1146">
      <w:pPr>
        <w:numPr>
          <w:ilvl w:val="0"/>
          <w:numId w:val="81"/>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Criterios de salud y seguridad en el trabajo introducidos en los requisitos contractuales y de adquisiciones.</w:t>
      </w:r>
    </w:p>
    <w:p w14:paraId="334D98BD"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Estrategias para identificar y eliminar peligros y riesgos laborales</w:t>
      </w:r>
    </w:p>
    <w:p w14:paraId="42E94F85" w14:textId="77777777" w:rsidR="006C5A8B" w:rsidRPr="006C5A8B" w:rsidRDefault="006C5A8B" w:rsidP="00AC1146">
      <w:pPr>
        <w:numPr>
          <w:ilvl w:val="0"/>
          <w:numId w:val="82"/>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Desarrollo de matriz de riesgos por procesos y matrices de identificación de peligros y riesgos por sedes y grupos ocupacionales.</w:t>
      </w:r>
    </w:p>
    <w:p w14:paraId="0B9C7863" w14:textId="77777777" w:rsidR="006C5A8B" w:rsidRPr="006C5A8B" w:rsidRDefault="006C5A8B" w:rsidP="00AC1146">
      <w:pPr>
        <w:numPr>
          <w:ilvl w:val="0"/>
          <w:numId w:val="82"/>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Análisis de vulnerabilidad de las sedes y activos.</w:t>
      </w:r>
    </w:p>
    <w:p w14:paraId="0CC323FE" w14:textId="77777777" w:rsidR="006C5A8B" w:rsidRPr="006C5A8B" w:rsidRDefault="006C5A8B" w:rsidP="00AC1146">
      <w:pPr>
        <w:numPr>
          <w:ilvl w:val="0"/>
          <w:numId w:val="82"/>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Desarrollo de programas de formación y entrenamiento.</w:t>
      </w:r>
    </w:p>
    <w:p w14:paraId="35487954" w14:textId="77777777" w:rsidR="006C5A8B" w:rsidRPr="006C5A8B" w:rsidRDefault="006C5A8B" w:rsidP="00AC1146">
      <w:pPr>
        <w:numPr>
          <w:ilvl w:val="0"/>
          <w:numId w:val="82"/>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Evaluación médica ocupacional.</w:t>
      </w:r>
    </w:p>
    <w:p w14:paraId="38634BE1" w14:textId="77777777" w:rsidR="006C5A8B" w:rsidRPr="006C5A8B" w:rsidRDefault="006C5A8B" w:rsidP="00AC1146">
      <w:pPr>
        <w:numPr>
          <w:ilvl w:val="0"/>
          <w:numId w:val="82"/>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Monitoreo de condiciones ambientales.</w:t>
      </w:r>
    </w:p>
    <w:p w14:paraId="5462D1B3" w14:textId="77777777" w:rsidR="006C5A8B" w:rsidRPr="006C5A8B" w:rsidRDefault="006C5A8B" w:rsidP="00AC1146">
      <w:pPr>
        <w:numPr>
          <w:ilvl w:val="0"/>
          <w:numId w:val="82"/>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Verificación de controles operacionales a través de inspecciones y caminatas de seguridad.</w:t>
      </w:r>
    </w:p>
    <w:p w14:paraId="6E13AD7F" w14:textId="77777777" w:rsidR="006C5A8B" w:rsidRPr="006C5A8B" w:rsidRDefault="006C5A8B" w:rsidP="006C5A8B">
      <w:pPr>
        <w:shd w:val="clear" w:color="auto" w:fill="FFFFFF"/>
        <w:spacing w:before="100" w:beforeAutospacing="1" w:after="100" w:afterAutospacing="1"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Procesos de participación y consulta de los trabajadores</w:t>
      </w:r>
    </w:p>
    <w:p w14:paraId="03F3C971" w14:textId="77777777" w:rsidR="006C5A8B" w:rsidRPr="006C5A8B" w:rsidRDefault="006C5A8B" w:rsidP="006C5A8B">
      <w:pPr>
        <w:shd w:val="clear" w:color="auto" w:fill="FFFFFF"/>
        <w:spacing w:before="100" w:beforeAutospacing="1" w:after="100" w:afterAutospacing="1"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TRANSELCA cuenta con mecanismos como:</w:t>
      </w:r>
    </w:p>
    <w:p w14:paraId="3A83A188" w14:textId="77777777" w:rsidR="006C5A8B" w:rsidRPr="006C5A8B" w:rsidRDefault="006C5A8B" w:rsidP="00AC1146">
      <w:pPr>
        <w:numPr>
          <w:ilvl w:val="0"/>
          <w:numId w:val="83"/>
        </w:numPr>
        <w:shd w:val="clear" w:color="auto" w:fill="FFFFFF"/>
        <w:spacing w:before="240" w:after="0" w:line="240" w:lineRule="auto"/>
        <w:jc w:val="both"/>
        <w:rPr>
          <w:rFonts w:ascii="Tahoma" w:eastAsia="Arial" w:hAnsi="Tahoma" w:cs="Tahoma"/>
          <w:kern w:val="0"/>
          <w:lang w:val="es-ES" w:eastAsia="es-CO"/>
          <w14:ligatures w14:val="none"/>
        </w:rPr>
      </w:pPr>
      <w:r w:rsidRPr="006C5A8B">
        <w:rPr>
          <w:rFonts w:ascii="Tahoma" w:eastAsia="Tahoma" w:hAnsi="Tahoma" w:cs="Tahoma"/>
          <w:b/>
          <w:kern w:val="0"/>
          <w:lang w:val="es-ES" w:eastAsia="es-CO"/>
          <w14:ligatures w14:val="none"/>
        </w:rPr>
        <w:lastRenderedPageBreak/>
        <w:t>El Comité Paritario de Seguridad y Salud en el Trabajo:</w:t>
      </w:r>
      <w:r w:rsidRPr="006C5A8B">
        <w:rPr>
          <w:rFonts w:ascii="Tahoma" w:eastAsia="Tahoma" w:hAnsi="Tahoma" w:cs="Tahoma"/>
          <w:kern w:val="0"/>
          <w:lang w:val="es-ES" w:eastAsia="es-CO"/>
          <w14:ligatures w14:val="none"/>
        </w:rPr>
        <w:t xml:space="preserve"> conformado por dos miembros en representación del empleador y dos en representación de los trabajadores, elegidos por votación. Se reúne una vez al mes.</w:t>
      </w:r>
    </w:p>
    <w:p w14:paraId="66D8C20F" w14:textId="77777777" w:rsidR="006C5A8B" w:rsidRPr="006C5A8B" w:rsidRDefault="006C5A8B" w:rsidP="00AC1146">
      <w:pPr>
        <w:numPr>
          <w:ilvl w:val="0"/>
          <w:numId w:val="83"/>
        </w:numPr>
        <w:shd w:val="clear" w:color="auto" w:fill="FFFFFF"/>
        <w:spacing w:after="240" w:line="240" w:lineRule="auto"/>
        <w:rPr>
          <w:rFonts w:ascii="Tahoma" w:eastAsia="Arial" w:hAnsi="Tahoma" w:cs="Tahoma"/>
          <w:kern w:val="0"/>
          <w:lang w:val="es-ES" w:eastAsia="es-CO"/>
          <w14:ligatures w14:val="none"/>
        </w:rPr>
      </w:pPr>
      <w:r w:rsidRPr="006C5A8B">
        <w:rPr>
          <w:rFonts w:ascii="Tahoma" w:eastAsia="Tahoma" w:hAnsi="Tahoma" w:cs="Tahoma"/>
          <w:b/>
          <w:kern w:val="0"/>
          <w:lang w:val="es-ES" w:eastAsia="es-CO"/>
          <w14:ligatures w14:val="none"/>
        </w:rPr>
        <w:t xml:space="preserve">Comité de Convivencia Laboral y Sexual: </w:t>
      </w:r>
      <w:r w:rsidRPr="006C5A8B">
        <w:rPr>
          <w:rFonts w:ascii="Tahoma" w:eastAsia="Tahoma" w:hAnsi="Tahoma" w:cs="Tahoma"/>
          <w:kern w:val="0"/>
          <w:lang w:val="es-ES" w:eastAsia="es-CO"/>
          <w14:ligatures w14:val="none"/>
        </w:rPr>
        <w:t>un equipo paritario, encargado de garantizar que la empresa tome las medidas preventivas y correctivas relacionadas con la convivencia laboral y previniendo las conductas que la alteren.</w:t>
      </w:r>
    </w:p>
    <w:p w14:paraId="2499A99E" w14:textId="77777777" w:rsidR="006C5A8B" w:rsidRPr="006C5A8B" w:rsidRDefault="006C5A8B" w:rsidP="006C5A8B">
      <w:pPr>
        <w:shd w:val="clear" w:color="auto" w:fill="FFFFFF"/>
        <w:spacing w:after="240" w:line="240" w:lineRule="auto"/>
        <w:ind w:left="720"/>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Los miembros del C.C.L. firman un acuerdo de confidencialidad.</w:t>
      </w:r>
    </w:p>
    <w:p w14:paraId="360CE904" w14:textId="77777777" w:rsidR="006C5A8B" w:rsidRPr="006C5A8B" w:rsidRDefault="006C5A8B" w:rsidP="006C5A8B">
      <w:pPr>
        <w:shd w:val="clear" w:color="auto" w:fill="FFFFFF"/>
        <w:spacing w:before="240" w:after="0" w:line="240" w:lineRule="auto"/>
        <w:jc w:val="both"/>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Plan de comunicaciones</w:t>
      </w:r>
    </w:p>
    <w:p w14:paraId="2854176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3D124878"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Anualmente se establece un plan que responde a los temas relevantes en seguridad y salud en el trabajo, y se divulga a través de diferentes medios como: pantallas de televisión en las sedes, página web, correos electrónicos y plataforma de formación virtual asincrónica.</w:t>
      </w:r>
    </w:p>
    <w:p w14:paraId="01730814" w14:textId="77777777" w:rsidR="006C5A8B" w:rsidRPr="00E05B53" w:rsidRDefault="006C5A8B" w:rsidP="006C5A8B">
      <w:pPr>
        <w:spacing w:before="240" w:after="240" w:line="240" w:lineRule="auto"/>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Impactos Positivos</w:t>
      </w:r>
    </w:p>
    <w:p w14:paraId="35098AA2" w14:textId="77777777" w:rsidR="006C5A8B" w:rsidRPr="00E05B53" w:rsidRDefault="006C5A8B" w:rsidP="006C5A8B">
      <w:pPr>
        <w:spacing w:after="0" w:line="240" w:lineRule="auto"/>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Programa SÚMATE</w:t>
      </w:r>
    </w:p>
    <w:p w14:paraId="4A183880"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E3C6F11" w14:textId="77777777" w:rsidR="006C5A8B" w:rsidRPr="006C5A8B" w:rsidRDefault="006C5A8B" w:rsidP="00AC1146">
      <w:pPr>
        <w:numPr>
          <w:ilvl w:val="0"/>
          <w:numId w:val="104"/>
        </w:numPr>
        <w:spacing w:after="0" w:line="240" w:lineRule="auto"/>
        <w:contextualSpacing/>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Incremento del personal con mejora en los indicadores de salud relacionados con riesgo cardiovascular y osteomuscular, pasando del 18% al 27% de la población.</w:t>
      </w:r>
    </w:p>
    <w:p w14:paraId="0F7D91E8"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5F5323A2" w14:textId="77777777" w:rsidR="006C5A8B" w:rsidRPr="006C5A8B" w:rsidRDefault="006C5A8B" w:rsidP="00AC1146">
      <w:pPr>
        <w:numPr>
          <w:ilvl w:val="0"/>
          <w:numId w:val="84"/>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Reducción del ausentismo laboral en 21,5% (días hábiles no trabajados como consecuencia de accidentes o enfermedades tanto de origen común o laboral) y disminución de 30% en el indicador TRIF (número de lesiones por accidente laboral registrables) con respecto al año anterior.</w:t>
      </w:r>
    </w:p>
    <w:p w14:paraId="138ADA1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50DD6ED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GRI 403-9</w:t>
      </w:r>
    </w:p>
    <w:p w14:paraId="59F1D059"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2CD2C08C" w14:textId="77777777" w:rsidR="006C5A8B" w:rsidRPr="00E05B53" w:rsidRDefault="006C5A8B" w:rsidP="006C5A8B">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Hitos</w:t>
      </w:r>
    </w:p>
    <w:p w14:paraId="2C318903"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0361FCE1"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Se implementaron diferentes estrategias en pro de la salud de los trabajadores:</w:t>
      </w:r>
    </w:p>
    <w:p w14:paraId="612EED79"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p>
    <w:p w14:paraId="60591B77" w14:textId="77777777" w:rsidR="006C5A8B" w:rsidRPr="006C5A8B" w:rsidRDefault="006C5A8B" w:rsidP="00AC1146">
      <w:pPr>
        <w:numPr>
          <w:ilvl w:val="0"/>
          <w:numId w:val="100"/>
        </w:numPr>
        <w:pBdr>
          <w:top w:val="nil"/>
          <w:left w:val="nil"/>
          <w:bottom w:val="nil"/>
          <w:right w:val="nil"/>
          <w:between w:val="nil"/>
        </w:pBdr>
        <w:spacing w:after="0" w:line="240" w:lineRule="auto"/>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Escuelas de concientización</w:t>
      </w:r>
    </w:p>
    <w:p w14:paraId="557F7C45" w14:textId="77777777" w:rsidR="006C5A8B" w:rsidRPr="006C5A8B" w:rsidRDefault="006C5A8B" w:rsidP="00AC1146">
      <w:pPr>
        <w:numPr>
          <w:ilvl w:val="0"/>
          <w:numId w:val="85"/>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Jornadas de salud</w:t>
      </w:r>
    </w:p>
    <w:p w14:paraId="16CF4D51" w14:textId="77777777" w:rsidR="006C5A8B" w:rsidRPr="006C5A8B" w:rsidRDefault="006C5A8B" w:rsidP="00AC1146">
      <w:pPr>
        <w:numPr>
          <w:ilvl w:val="0"/>
          <w:numId w:val="85"/>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Talleres de nutrición saludable</w:t>
      </w:r>
    </w:p>
    <w:p w14:paraId="29D5E5A2" w14:textId="77777777" w:rsidR="006C5A8B" w:rsidRPr="006C5A8B" w:rsidRDefault="006C5A8B" w:rsidP="00AC1146">
      <w:pPr>
        <w:numPr>
          <w:ilvl w:val="0"/>
          <w:numId w:val="85"/>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Jornadas de salud mental (programa SanumBe)</w:t>
      </w:r>
    </w:p>
    <w:p w14:paraId="0DD73D17" w14:textId="77777777" w:rsidR="006C5A8B" w:rsidRPr="006C5A8B" w:rsidRDefault="006C5A8B" w:rsidP="00AC1146">
      <w:pPr>
        <w:numPr>
          <w:ilvl w:val="0"/>
          <w:numId w:val="85"/>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Tamizaje y seguimiento cardiovascular</w:t>
      </w:r>
    </w:p>
    <w:p w14:paraId="154F488A"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D9E9DEB"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32"/>
          <w:szCs w:val="32"/>
          <w:lang w:val="es-ES" w:eastAsia="es-CO"/>
          <w14:ligatures w14:val="none"/>
        </w:rPr>
        <w:lastRenderedPageBreak/>
        <w:t>Disminución de la cantidad de accidentes registrables (TRIF)</w:t>
      </w:r>
    </w:p>
    <w:p w14:paraId="691CF44B"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6D4DCBB"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Evolución</w:t>
      </w:r>
    </w:p>
    <w:p w14:paraId="7F24B298"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3DE4680E"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Durante el año 2024 el indicador TRIF mostró una reducción del 30% en comparación con el año 2023. </w:t>
      </w:r>
    </w:p>
    <w:p w14:paraId="7E78BE12"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920A256"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Hitos</w:t>
      </w:r>
    </w:p>
    <w:p w14:paraId="7400A95C"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586E32D2" w14:textId="77777777" w:rsidR="006C5A8B" w:rsidRPr="006C5A8B" w:rsidRDefault="006C5A8B" w:rsidP="00AC1146">
      <w:pPr>
        <w:numPr>
          <w:ilvl w:val="0"/>
          <w:numId w:val="86"/>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Mayor frecuencia de seguimiento con los contratistas críticos.</w:t>
      </w:r>
    </w:p>
    <w:p w14:paraId="16A07AA2" w14:textId="77777777" w:rsidR="006C5A8B" w:rsidRPr="006C5A8B" w:rsidRDefault="006C5A8B" w:rsidP="00AC1146">
      <w:pPr>
        <w:numPr>
          <w:ilvl w:val="0"/>
          <w:numId w:val="86"/>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Divulgación de lecciones aprendidas.</w:t>
      </w:r>
    </w:p>
    <w:p w14:paraId="258D5240" w14:textId="77777777" w:rsidR="006C5A8B" w:rsidRPr="006C5A8B" w:rsidRDefault="006C5A8B" w:rsidP="00AC1146">
      <w:pPr>
        <w:numPr>
          <w:ilvl w:val="0"/>
          <w:numId w:val="86"/>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Ejecución del programa conectados con la vida.</w:t>
      </w:r>
    </w:p>
    <w:p w14:paraId="399919F9"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41862C31" w14:textId="77777777" w:rsidR="006C5A8B" w:rsidRPr="006C5A8B" w:rsidRDefault="006C5A8B" w:rsidP="006C5A8B">
      <w:pPr>
        <w:spacing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32"/>
          <w:szCs w:val="32"/>
          <w:lang w:val="es-ES" w:eastAsia="es-CO"/>
          <w14:ligatures w14:val="none"/>
        </w:rPr>
        <w:t>Fortalecimiento de cultura de la SST</w:t>
      </w:r>
    </w:p>
    <w:p w14:paraId="535A1942" w14:textId="77777777" w:rsidR="006C5A8B" w:rsidRPr="006C5A8B" w:rsidRDefault="006C5A8B" w:rsidP="006C5A8B">
      <w:pPr>
        <w:spacing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Durante el año 2024, TRANSELCA continuó desarrollando el programa “Conectados con la Vida” que mantuvo un nivel de madurez vanguardista logrando un 86,03%.</w:t>
      </w:r>
    </w:p>
    <w:p w14:paraId="4287E16D" w14:textId="77777777" w:rsidR="006C5A8B" w:rsidRPr="006C5A8B" w:rsidRDefault="006C5A8B" w:rsidP="006C5A8B">
      <w:pPr>
        <w:spacing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Evolución: </w:t>
      </w:r>
    </w:p>
    <w:p w14:paraId="71DFF460" w14:textId="77777777" w:rsidR="006C5A8B" w:rsidRPr="006C5A8B" w:rsidRDefault="006C5A8B" w:rsidP="00AC1146">
      <w:pPr>
        <w:numPr>
          <w:ilvl w:val="0"/>
          <w:numId w:val="87"/>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Durante el último año se logró una notable disminución en el número de accidentes laborales y enfermedades ocupacionales gracias a la implementación de nuevas medidas de seguridad.</w:t>
      </w:r>
    </w:p>
    <w:p w14:paraId="37AF08A7" w14:textId="77777777" w:rsidR="006C5A8B" w:rsidRPr="006C5A8B" w:rsidRDefault="006C5A8B" w:rsidP="00AC1146">
      <w:pPr>
        <w:numPr>
          <w:ilvl w:val="0"/>
          <w:numId w:val="87"/>
        </w:numPr>
        <w:shd w:val="clear" w:color="auto" w:fill="FFFFFF"/>
        <w:spacing w:after="0" w:line="240" w:lineRule="auto"/>
        <w:jc w:val="both"/>
        <w:rPr>
          <w:rFonts w:ascii="Tahoma" w:eastAsia="Tahoma" w:hAnsi="Tahoma" w:cs="Tahoma"/>
          <w:kern w:val="0"/>
          <w:sz w:val="22"/>
          <w:szCs w:val="22"/>
          <w:lang w:val="es-ES" w:eastAsia="es-CO"/>
          <w14:ligatures w14:val="none"/>
        </w:rPr>
      </w:pPr>
      <w:r w:rsidRPr="006C5A8B">
        <w:rPr>
          <w:rFonts w:ascii="Tahoma" w:eastAsia="Tahoma" w:hAnsi="Tahoma" w:cs="Tahoma"/>
          <w:kern w:val="0"/>
          <w:lang w:val="es-ES" w:eastAsia="es-CO"/>
          <w14:ligatures w14:val="none"/>
        </w:rPr>
        <w:t>Con relación a los indicadores proactivos se evidenció una mejora importante en el índice de liderazgo, el cual está vinculado a la realización de las caminatas de seguridad y la gestión de las acciones correctivas resultantes de las inspecciones y caminatas. </w:t>
      </w:r>
    </w:p>
    <w:p w14:paraId="50EBB939" w14:textId="77777777" w:rsidR="006C5A8B" w:rsidRPr="006C5A8B" w:rsidRDefault="006C5A8B" w:rsidP="00AC1146">
      <w:pPr>
        <w:numPr>
          <w:ilvl w:val="0"/>
          <w:numId w:val="87"/>
        </w:numPr>
        <w:shd w:val="clear" w:color="auto" w:fill="FFFFFF"/>
        <w:spacing w:after="0" w:line="240" w:lineRule="auto"/>
        <w:jc w:val="both"/>
        <w:rPr>
          <w:rFonts w:ascii="Tahoma" w:eastAsia="Tahoma" w:hAnsi="Tahoma" w:cs="Tahoma"/>
          <w:kern w:val="0"/>
          <w:sz w:val="22"/>
          <w:szCs w:val="22"/>
          <w:lang w:val="es-ES" w:eastAsia="es-CO"/>
          <w14:ligatures w14:val="none"/>
        </w:rPr>
      </w:pPr>
      <w:r w:rsidRPr="006C5A8B">
        <w:rPr>
          <w:rFonts w:ascii="Tahoma" w:eastAsia="Tahoma" w:hAnsi="Tahoma" w:cs="Tahoma"/>
          <w:kern w:val="0"/>
          <w:lang w:val="es-ES" w:eastAsia="es-CO"/>
          <w14:ligatures w14:val="none"/>
        </w:rPr>
        <w:t>Desde la mesa gerencial, el equipo promotor a través de reuniones focalizadas con líderes coordinó la estrategia para el cumplimiento de caminatas planificadas y cierre de hallazgos antes de finalizar el año 2024.</w:t>
      </w:r>
    </w:p>
    <w:p w14:paraId="7E2D8F4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sz w:val="22"/>
          <w:szCs w:val="22"/>
          <w:lang w:val="es-ES" w:eastAsia="es-CO"/>
          <w14:ligatures w14:val="none"/>
        </w:rPr>
        <w:t> </w:t>
      </w:r>
    </w:p>
    <w:p w14:paraId="34DE9340" w14:textId="77777777" w:rsidR="006C5A8B" w:rsidRPr="006C5A8B" w:rsidRDefault="006C5A8B" w:rsidP="006C5A8B">
      <w:pPr>
        <w:spacing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Hitos:</w:t>
      </w:r>
    </w:p>
    <w:p w14:paraId="59C3CCD9" w14:textId="77777777" w:rsidR="006C5A8B" w:rsidRPr="006C5A8B" w:rsidRDefault="006C5A8B" w:rsidP="00AC1146">
      <w:pPr>
        <w:numPr>
          <w:ilvl w:val="0"/>
          <w:numId w:val="88"/>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Realización anual de capacitaciones en Seguridad y Salud en el Trabajo para todos los colaboradores de TRANSELCA con una participación del 100%.</w:t>
      </w:r>
    </w:p>
    <w:p w14:paraId="47968F6D" w14:textId="77777777" w:rsidR="006C5A8B" w:rsidRPr="006C5A8B" w:rsidRDefault="006C5A8B" w:rsidP="00AC1146">
      <w:pPr>
        <w:numPr>
          <w:ilvl w:val="0"/>
          <w:numId w:val="89"/>
        </w:numPr>
        <w:spacing w:after="0" w:line="240" w:lineRule="auto"/>
        <w:jc w:val="both"/>
        <w:rPr>
          <w:rFonts w:ascii="Tahoma" w:eastAsia="Arial" w:hAnsi="Tahoma" w:cs="Tahoma"/>
          <w:kern w:val="0"/>
          <w:lang w:val="es-ES" w:eastAsia="es-CO"/>
          <w14:ligatures w14:val="none"/>
        </w:rPr>
      </w:pPr>
      <w:r w:rsidRPr="006C5A8B">
        <w:rPr>
          <w:rFonts w:ascii="Tahoma" w:eastAsia="Tahoma" w:hAnsi="Tahoma" w:cs="Tahoma"/>
          <w:kern w:val="0"/>
          <w:lang w:val="es-ES" w:eastAsia="es-CO"/>
          <w14:ligatures w14:val="none"/>
        </w:rPr>
        <w:t xml:space="preserve">Las capacitaciones incluyeron la formación en un sistema de gestión de Seguridad y Salud en el Trabajo certificado según estándares internacionales: ISO 45001. </w:t>
      </w:r>
      <w:r w:rsidRPr="00663570">
        <w:rPr>
          <w:rFonts w:ascii="Tahoma" w:eastAsia="Tahoma" w:hAnsi="Tahoma" w:cs="Tahoma"/>
          <w:b/>
          <w:color w:val="0070C0"/>
          <w:kern w:val="0"/>
          <w:lang w:val="es-ES" w:eastAsia="es-CO"/>
          <w14:ligatures w14:val="none"/>
        </w:rPr>
        <w:t>GRI 403-10</w:t>
      </w:r>
    </w:p>
    <w:p w14:paraId="76092654" w14:textId="77777777" w:rsidR="006C5A8B" w:rsidRPr="006C5A8B" w:rsidRDefault="006C5A8B" w:rsidP="00AC1146">
      <w:pPr>
        <w:numPr>
          <w:ilvl w:val="0"/>
          <w:numId w:val="90"/>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Cada reunión de la Junta Directiva incluyó un espacio para tratar temas relacionados con la Seguridad y Salud en el Trabajo.</w:t>
      </w:r>
    </w:p>
    <w:p w14:paraId="58106DA2"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094AC921" w14:textId="77777777" w:rsidR="006C5A8B" w:rsidRPr="00E05B53" w:rsidRDefault="006C5A8B" w:rsidP="006C5A8B">
      <w:pPr>
        <w:spacing w:before="240" w:after="240" w:line="240" w:lineRule="auto"/>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lastRenderedPageBreak/>
        <w:t xml:space="preserve">Riesgos de impactos negativos </w:t>
      </w:r>
    </w:p>
    <w:p w14:paraId="1512B256"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Empresas contratistas realizan múltiples actividades laborales</w:t>
      </w:r>
    </w:p>
    <w:p w14:paraId="09503B54"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6600ADD3"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Debido a la dispersión geográfica de las sedes, las empresas contratistas pueden contratar trabajadores con limitada experiencia laboral y escasos hábitos de seguridad.</w:t>
      </w:r>
    </w:p>
    <w:p w14:paraId="43196D37"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p>
    <w:p w14:paraId="417FB098"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Para evitar materializar este riesgo TRANSELCA refuerza los controles sobre los estándares de seguridad y fomenta actividades de formación en estas empresas, con el objetivo de mejorar las competencias del personal. Así mismo, hace seguimiento y auditorías periódicas. </w:t>
      </w:r>
    </w:p>
    <w:p w14:paraId="5AA69A59"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447C2E16"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Accidentes con consecuencias graves (incapacidad permanente o fatal)</w:t>
      </w:r>
    </w:p>
    <w:p w14:paraId="6B00CF17"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915A20A"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Evolución</w:t>
      </w:r>
    </w:p>
    <w:p w14:paraId="6DF616B2"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4D1AC4B"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Adicionalmente a la reducción de la accidentalidad en un 30% (a corte </w:t>
      </w:r>
      <w:sdt>
        <w:sdtPr>
          <w:rPr>
            <w:rFonts w:ascii="Tahoma" w:eastAsia="Aptos" w:hAnsi="Tahoma" w:cs="Tahoma"/>
            <w:kern w:val="0"/>
            <w:lang w:val="es-ES" w:eastAsia="es-CO"/>
            <w14:ligatures w14:val="none"/>
          </w:rPr>
          <w:tag w:val="goog_rdk_0"/>
          <w:id w:val="403883439"/>
        </w:sdtPr>
        <w:sdtEndPr/>
        <w:sdtContent/>
      </w:sdt>
      <w:r w:rsidRPr="00E05B53">
        <w:rPr>
          <w:rFonts w:ascii="Tahoma" w:eastAsia="Tahoma" w:hAnsi="Tahoma" w:cs="Tahoma"/>
          <w:kern w:val="0"/>
          <w:lang w:val="es-ES" w:eastAsia="es-CO"/>
          <w14:ligatures w14:val="none"/>
        </w:rPr>
        <w:t>noviembre 2024) los accidentes ocurridos no han tenido consecuencias graves para los trabajadores.</w:t>
      </w:r>
    </w:p>
    <w:p w14:paraId="4ACB75DD"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A757719" w14:textId="77777777" w:rsidR="006C5A8B" w:rsidRDefault="006C5A8B" w:rsidP="006C5A8B">
      <w:pPr>
        <w:spacing w:after="0" w:line="240" w:lineRule="auto"/>
        <w:jc w:val="both"/>
        <w:rPr>
          <w:rFonts w:ascii="Tahoma" w:eastAsia="Tahoma" w:hAnsi="Tahoma" w:cs="Tahoma"/>
          <w:b/>
          <w:color w:val="0070C0"/>
          <w:kern w:val="0"/>
          <w:lang w:val="es-ES" w:eastAsia="es-CO"/>
          <w14:ligatures w14:val="none"/>
        </w:rPr>
      </w:pPr>
      <w:r w:rsidRPr="00663570">
        <w:rPr>
          <w:rFonts w:ascii="Tahoma" w:eastAsia="Tahoma" w:hAnsi="Tahoma" w:cs="Tahoma"/>
          <w:b/>
          <w:color w:val="0070C0"/>
          <w:kern w:val="0"/>
          <w:lang w:val="es-ES" w:eastAsia="es-CO"/>
          <w14:ligatures w14:val="none"/>
        </w:rPr>
        <w:t>GRI 403-9</w:t>
      </w:r>
    </w:p>
    <w:p w14:paraId="031A00CE" w14:textId="77777777" w:rsidR="00663570" w:rsidRPr="00663570" w:rsidRDefault="00663570" w:rsidP="006C5A8B">
      <w:pPr>
        <w:spacing w:after="0" w:line="240" w:lineRule="auto"/>
        <w:jc w:val="both"/>
        <w:rPr>
          <w:rFonts w:ascii="Tahoma" w:eastAsia="Tahoma" w:hAnsi="Tahoma" w:cs="Tahoma"/>
          <w:color w:val="0070C0"/>
          <w:kern w:val="0"/>
          <w:lang w:val="es-ES" w:eastAsia="es-CO"/>
          <w14:ligatures w14:val="none"/>
        </w:rPr>
      </w:pPr>
    </w:p>
    <w:p w14:paraId="0766F5CB"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Hitos</w:t>
      </w:r>
    </w:p>
    <w:p w14:paraId="13F01C07"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D70039E" w14:textId="77777777" w:rsidR="006C5A8B" w:rsidRPr="006C5A8B" w:rsidRDefault="006C5A8B" w:rsidP="00AC1146">
      <w:pPr>
        <w:numPr>
          <w:ilvl w:val="0"/>
          <w:numId w:val="91"/>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Ejecución de programas de gestión asociados a las actividades con mayor criticidad: Trabajo en alturas, espacios confinados, seguridad vial.</w:t>
      </w:r>
    </w:p>
    <w:p w14:paraId="4D47C4C0" w14:textId="77777777" w:rsidR="006C5A8B" w:rsidRPr="006C5A8B" w:rsidRDefault="006C5A8B" w:rsidP="00AC1146">
      <w:pPr>
        <w:numPr>
          <w:ilvl w:val="0"/>
          <w:numId w:val="91"/>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Exigencias contractuales en temas SST consolidadas en el Manual de Seguridad, Salud y Ambiente para contratistas</w:t>
      </w:r>
    </w:p>
    <w:p w14:paraId="5553D96F" w14:textId="77777777" w:rsidR="006C5A8B" w:rsidRPr="006C5A8B" w:rsidRDefault="006C5A8B" w:rsidP="00AC1146">
      <w:pPr>
        <w:numPr>
          <w:ilvl w:val="0"/>
          <w:numId w:val="91"/>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Manual unificado de operación y mantenimiento seguro.</w:t>
      </w:r>
    </w:p>
    <w:p w14:paraId="0CC94F71"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21F96CE8"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Anticipación</w:t>
      </w:r>
    </w:p>
    <w:p w14:paraId="78D3C55D"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6F476CC1"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Se fortaleció el seguimiento a la ejecución de actividades críticas y se implementó un indicador diseñado para generar alertas tempranas ante posibles desviaciones que podrían derivar en accidentes graves.</w:t>
      </w:r>
    </w:p>
    <w:p w14:paraId="22241E94"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5EB5CDFC"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28"/>
          <w:szCs w:val="28"/>
          <w:lang w:val="es-ES" w:eastAsia="es-CO"/>
          <w14:ligatures w14:val="none"/>
        </w:rPr>
        <w:t xml:space="preserve">Oportunidades </w:t>
      </w:r>
    </w:p>
    <w:p w14:paraId="7FAC1B8D"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08A9FCB8"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Como parte del Grupo Ecopetrol, referente en seguridad en el sector OIL &amp; GAS, TRANSELCA fortalece su capacidad para emplear buenas prácticas adaptadas al sector eléctrico.</w:t>
      </w:r>
    </w:p>
    <w:p w14:paraId="7C50C222"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41348165"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Anticipación</w:t>
      </w:r>
    </w:p>
    <w:p w14:paraId="1654E0E0"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5143BB67"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Participación en mesas de trabajo con ISA y representantes de Ecopetrol para realizar un referenciamiento estratégico y ejecutar mejoras en el sistema de gestión.</w:t>
      </w:r>
    </w:p>
    <w:p w14:paraId="2E7949F1"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E166F20"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28"/>
          <w:szCs w:val="28"/>
          <w:lang w:val="es-ES" w:eastAsia="es-CO"/>
          <w14:ligatures w14:val="none"/>
        </w:rPr>
        <w:t xml:space="preserve">Metas y objetivos alcanzados </w:t>
      </w:r>
    </w:p>
    <w:p w14:paraId="3DB210E4"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33ED4D0" w14:textId="77777777" w:rsidR="006C5A8B" w:rsidRPr="006C5A8B" w:rsidRDefault="006C5A8B" w:rsidP="00AC1146">
      <w:pPr>
        <w:numPr>
          <w:ilvl w:val="0"/>
          <w:numId w:val="92"/>
        </w:numPr>
        <w:spacing w:after="0" w:line="240" w:lineRule="auto"/>
        <w:ind w:left="425"/>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Reducción del 30% en la accidentalidad laboral </w:t>
      </w:r>
    </w:p>
    <w:p w14:paraId="4C773589" w14:textId="77777777" w:rsidR="006C5A8B" w:rsidRPr="006C5A8B" w:rsidRDefault="006C5A8B" w:rsidP="00AC1146">
      <w:pPr>
        <w:numPr>
          <w:ilvl w:val="0"/>
          <w:numId w:val="92"/>
        </w:numPr>
        <w:spacing w:after="0" w:line="240" w:lineRule="auto"/>
        <w:ind w:left="425"/>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Avance en la cultura de seguridad a un nivel vanguardista con 86,03% de cumplimiento del objetivo establecido en el Plan Estratégico de Gestión de Activos (PEGA).</w:t>
      </w:r>
    </w:p>
    <w:p w14:paraId="144D99EB"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00169B5A"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28"/>
          <w:szCs w:val="28"/>
          <w:lang w:val="es-ES" w:eastAsia="es-CO"/>
          <w14:ligatures w14:val="none"/>
        </w:rPr>
        <w:t xml:space="preserve">Lecciones aprendidas </w:t>
      </w:r>
    </w:p>
    <w:p w14:paraId="7E526A0A"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3ABAF121" w14:textId="77777777" w:rsidR="006C5A8B" w:rsidRPr="00E05B53" w:rsidRDefault="006C5A8B" w:rsidP="006C5A8B">
      <w:pPr>
        <w:spacing w:after="0" w:line="240" w:lineRule="auto"/>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 xml:space="preserve">Aplicabilidad </w:t>
      </w:r>
    </w:p>
    <w:p w14:paraId="30C14AE4"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0262E6BF"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 casos de contratistas con accidentes recurrentes, se estableció un mecanismo para que sus representantes legales o directivos rindan cuentas sobre la gestión realizada para prevenir incidentes:</w:t>
      </w:r>
    </w:p>
    <w:p w14:paraId="273ADFAA"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8A35208" w14:textId="77777777" w:rsidR="006C5A8B" w:rsidRPr="006C5A8B" w:rsidRDefault="006C5A8B" w:rsidP="00AC1146">
      <w:pPr>
        <w:numPr>
          <w:ilvl w:val="0"/>
          <w:numId w:val="93"/>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Involucramiento de representantes legales o directivos de empresas con alta recurrencia en accidentes, quienes rinden cuentas sobre las medidas adoptadas.</w:t>
      </w:r>
    </w:p>
    <w:p w14:paraId="4C8EBC25" w14:textId="77777777" w:rsidR="006C5A8B" w:rsidRPr="006C5A8B" w:rsidRDefault="006C5A8B" w:rsidP="00AC1146">
      <w:pPr>
        <w:numPr>
          <w:ilvl w:val="0"/>
          <w:numId w:val="93"/>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Participación de representantes de contratistas en actividades como:</w:t>
      </w:r>
    </w:p>
    <w:p w14:paraId="1AD4BCF9" w14:textId="77777777" w:rsidR="006C5A8B" w:rsidRPr="006C5A8B" w:rsidRDefault="006C5A8B" w:rsidP="00AC1146">
      <w:pPr>
        <w:numPr>
          <w:ilvl w:val="1"/>
          <w:numId w:val="93"/>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Encuentro SST de Proveedores.</w:t>
      </w:r>
    </w:p>
    <w:p w14:paraId="6E6254A7" w14:textId="77777777" w:rsidR="006C5A8B" w:rsidRPr="006C5A8B" w:rsidRDefault="006C5A8B" w:rsidP="00AC1146">
      <w:pPr>
        <w:numPr>
          <w:ilvl w:val="1"/>
          <w:numId w:val="93"/>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Taller World Coffee.</w:t>
      </w:r>
    </w:p>
    <w:p w14:paraId="4D566D59" w14:textId="77777777" w:rsidR="006C5A8B" w:rsidRPr="006C5A8B" w:rsidRDefault="006C5A8B" w:rsidP="00AC1146">
      <w:pPr>
        <w:numPr>
          <w:ilvl w:val="1"/>
          <w:numId w:val="93"/>
        </w:num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Taller Lego Serious Play.</w:t>
      </w:r>
    </w:p>
    <w:p w14:paraId="07ADD1B7"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32531FEA"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Innovaciones</w:t>
      </w:r>
    </w:p>
    <w:p w14:paraId="39FC23F5"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18FC4094"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Dado que las empresas contratistas reportan el 86% de los accidentes, se han desarrollado acciones específicas para fortalecer su compromiso.</w:t>
      </w:r>
    </w:p>
    <w:p w14:paraId="204627B0"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3E6D4E13" w14:textId="77777777" w:rsidR="006C5A8B" w:rsidRPr="00E05B53" w:rsidRDefault="006C5A8B" w:rsidP="006C5A8B">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 xml:space="preserve">Comunicación con los grupos de interés </w:t>
      </w:r>
    </w:p>
    <w:p w14:paraId="0258FF28"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2B414340"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La información se comparte a través de:</w:t>
      </w:r>
    </w:p>
    <w:p w14:paraId="01BDBE0E"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6730D45C" w14:textId="77777777" w:rsidR="006C5A8B" w:rsidRPr="006C5A8B" w:rsidRDefault="006C5A8B" w:rsidP="00AC1146">
      <w:pPr>
        <w:numPr>
          <w:ilvl w:val="0"/>
          <w:numId w:val="94"/>
        </w:numPr>
        <w:spacing w:after="0" w:line="240" w:lineRule="auto"/>
        <w:ind w:left="425"/>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Inclusión del tema en reuniones de Junta Directiva.</w:t>
      </w:r>
    </w:p>
    <w:p w14:paraId="574FACE2" w14:textId="77777777" w:rsidR="006C5A8B" w:rsidRPr="006C5A8B" w:rsidRDefault="006C5A8B" w:rsidP="00AC1146">
      <w:pPr>
        <w:numPr>
          <w:ilvl w:val="0"/>
          <w:numId w:val="94"/>
        </w:numPr>
        <w:spacing w:after="0" w:line="240" w:lineRule="auto"/>
        <w:ind w:left="425"/>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Jornadas de formación y eventos como la Semana Integral y las Ferias de Seguridad, dirigidas a los trabajadores.</w:t>
      </w:r>
    </w:p>
    <w:p w14:paraId="26A83451" w14:textId="77777777" w:rsidR="006C5A8B" w:rsidRPr="006C5A8B" w:rsidRDefault="006C5A8B" w:rsidP="00AC1146">
      <w:pPr>
        <w:numPr>
          <w:ilvl w:val="0"/>
          <w:numId w:val="94"/>
        </w:numPr>
        <w:spacing w:after="0" w:line="240" w:lineRule="auto"/>
        <w:ind w:left="425"/>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Encuentros de seguridad y salud con los principales proveedores.</w:t>
      </w:r>
    </w:p>
    <w:p w14:paraId="1DEBD594" w14:textId="77777777" w:rsidR="006C5A8B" w:rsidRPr="006C5A8B" w:rsidRDefault="006C5A8B" w:rsidP="006C5A8B">
      <w:pPr>
        <w:spacing w:after="0" w:line="240" w:lineRule="auto"/>
        <w:rPr>
          <w:rFonts w:ascii="Tahoma" w:eastAsia="Tahoma" w:hAnsi="Tahoma" w:cs="Tahoma"/>
          <w:kern w:val="0"/>
          <w:lang w:val="es-ES" w:eastAsia="es-CO"/>
          <w14:ligatures w14:val="none"/>
        </w:rPr>
      </w:pPr>
    </w:p>
    <w:p w14:paraId="7B6D538C" w14:textId="77777777" w:rsidR="006C5A8B" w:rsidRPr="00E05B53" w:rsidRDefault="006C5A8B" w:rsidP="006C5A8B">
      <w:pPr>
        <w:spacing w:after="0" w:line="240" w:lineRule="auto"/>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 xml:space="preserve">Indicadores GRI relacionados con la SST </w:t>
      </w:r>
    </w:p>
    <w:p w14:paraId="2C2B1853" w14:textId="77777777" w:rsidR="006C5A8B" w:rsidRPr="006C5A8B" w:rsidRDefault="006C5A8B" w:rsidP="006C5A8B">
      <w:pPr>
        <w:spacing w:after="0" w:line="240" w:lineRule="auto"/>
        <w:jc w:val="both"/>
        <w:rPr>
          <w:rFonts w:ascii="Tahoma" w:eastAsia="Tahoma" w:hAnsi="Tahoma" w:cs="Tahoma"/>
          <w:kern w:val="0"/>
          <w:lang w:val="es-ES" w:eastAsia="es-CO"/>
          <w14:ligatures w14:val="none"/>
        </w:rPr>
      </w:pPr>
    </w:p>
    <w:p w14:paraId="0C50E260"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Cursos de formación para trabajadores:</w:t>
      </w:r>
    </w:p>
    <w:p w14:paraId="16093586"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Las actividades de formación realizadas fueron:</w:t>
      </w:r>
    </w:p>
    <w:p w14:paraId="7A571571" w14:textId="77777777" w:rsidR="006C5A8B" w:rsidRPr="006C5A8B" w:rsidRDefault="006C5A8B" w:rsidP="00AC1146">
      <w:pPr>
        <w:numPr>
          <w:ilvl w:val="0"/>
          <w:numId w:val="95"/>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Inducciones y reinducciones en seguridad y salud en el trabajo (SST).</w:t>
      </w:r>
    </w:p>
    <w:p w14:paraId="79DE7FFE"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Capacitación para jefes de trabajo con énfasis en riesgo eléctrico.</w:t>
      </w:r>
    </w:p>
    <w:p w14:paraId="67E11B59"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Manejo seguro de sustancias químicas.</w:t>
      </w:r>
    </w:p>
    <w:p w14:paraId="41E30AB6"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Plan de emergencias, roles y responsabilidades.</w:t>
      </w:r>
    </w:p>
    <w:p w14:paraId="3E1EB8BE"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Primeros auxilios, transporte de heridos y liderazgo en emergencias.</w:t>
      </w:r>
    </w:p>
    <w:p w14:paraId="3BA21595"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Simulacros y simulaciones de emergencias.</w:t>
      </w:r>
    </w:p>
    <w:p w14:paraId="5422D6AF"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Seguridad vial.</w:t>
      </w:r>
    </w:p>
    <w:p w14:paraId="5792E472"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Entrenamiento en trabajo en alturas.</w:t>
      </w:r>
    </w:p>
    <w:p w14:paraId="3952C055" w14:textId="77777777" w:rsidR="006C5A8B" w:rsidRPr="006C5A8B" w:rsidRDefault="006C5A8B" w:rsidP="00AC1146">
      <w:pPr>
        <w:numPr>
          <w:ilvl w:val="0"/>
          <w:numId w:val="95"/>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Entrenamiento en espacios confinados.</w:t>
      </w:r>
    </w:p>
    <w:p w14:paraId="36A94B54" w14:textId="77777777" w:rsidR="006C5A8B" w:rsidRPr="006C5A8B" w:rsidRDefault="006C5A8B" w:rsidP="00AC1146">
      <w:pPr>
        <w:numPr>
          <w:ilvl w:val="0"/>
          <w:numId w:val="95"/>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Talleres y charlas en la escuela de concientización sobre nutrición saludable y salud mental.</w:t>
      </w:r>
    </w:p>
    <w:p w14:paraId="17BBB62D"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Beneficios para el cuidado de la salud</w:t>
      </w:r>
    </w:p>
    <w:p w14:paraId="17489BF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Acceso a los servicios médicos por parte de los trabajadores:</w:t>
      </w:r>
      <w:r w:rsidRPr="006C5A8B">
        <w:rPr>
          <w:rFonts w:ascii="Tahoma" w:eastAsia="Tahoma" w:hAnsi="Tahoma" w:cs="Tahoma"/>
          <w:kern w:val="0"/>
          <w:lang w:val="es-ES" w:eastAsia="es-CO"/>
          <w14:ligatures w14:val="none"/>
        </w:rPr>
        <w:t xml:space="preserve"> se ofreció una póliza de salud cuyo costo fue asumido por la empresa, brindando acceso a servicios complementarios y atención prioritaria en salud.</w:t>
      </w:r>
    </w:p>
    <w:p w14:paraId="57940E5F"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Cubrimiento de empleados por la SST</w:t>
      </w:r>
    </w:p>
    <w:tbl>
      <w:tblPr>
        <w:tblW w:w="8488" w:type="dxa"/>
        <w:tblLayout w:type="fixed"/>
        <w:tblLook w:val="0400" w:firstRow="0" w:lastRow="0" w:firstColumn="0" w:lastColumn="0" w:noHBand="0" w:noVBand="1"/>
      </w:tblPr>
      <w:tblGrid>
        <w:gridCol w:w="5644"/>
        <w:gridCol w:w="814"/>
        <w:gridCol w:w="814"/>
        <w:gridCol w:w="1216"/>
      </w:tblGrid>
      <w:tr w:rsidR="006C5A8B" w:rsidRPr="006C5A8B" w14:paraId="26852B43" w14:textId="77777777" w:rsidTr="00955EFE">
        <w:trPr>
          <w:trHeight w:val="82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5F842D4"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Empleados cubiertos en SST</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28A39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2022</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217E8B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2023</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A48663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2024</w:t>
            </w:r>
          </w:p>
        </w:tc>
      </w:tr>
      <w:tr w:rsidR="006C5A8B" w:rsidRPr="006C5A8B" w14:paraId="5A453948" w14:textId="77777777" w:rsidTr="00955EFE">
        <w:trPr>
          <w:trHeight w:val="133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D96B6D"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empleados cubiertos por el sistema de gestión de la seguridad y salud en el trabajo</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FB166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783</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39662A6"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892</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B536B3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966</w:t>
            </w:r>
          </w:p>
        </w:tc>
      </w:tr>
      <w:tr w:rsidR="006C5A8B" w:rsidRPr="006C5A8B" w14:paraId="03875F4E" w14:textId="77777777" w:rsidTr="00955EFE">
        <w:trPr>
          <w:trHeight w:val="109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B35540"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Porcentaje de empleados cubiertos por el sistema de gestión de la seguridad y salud en el trabajo</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6DA46C6"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EDA018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C7A8684" w14:textId="77777777" w:rsidR="006C5A8B" w:rsidRPr="006C5A8B" w:rsidRDefault="00C11E42" w:rsidP="006C5A8B">
            <w:pPr>
              <w:shd w:val="clear" w:color="auto" w:fill="FFFFFF"/>
              <w:spacing w:before="240" w:after="0" w:line="240" w:lineRule="auto"/>
              <w:jc w:val="right"/>
              <w:rPr>
                <w:rFonts w:ascii="Tahoma" w:eastAsia="Tahoma" w:hAnsi="Tahoma" w:cs="Tahoma"/>
                <w:kern w:val="0"/>
                <w:lang w:val="es-ES" w:eastAsia="es-CO"/>
                <w14:ligatures w14:val="none"/>
              </w:rPr>
            </w:pPr>
            <w:sdt>
              <w:sdtPr>
                <w:rPr>
                  <w:rFonts w:ascii="Tahoma" w:eastAsia="Aptos" w:hAnsi="Tahoma" w:cs="Tahoma"/>
                  <w:kern w:val="0"/>
                  <w:lang w:val="es-ES" w:eastAsia="es-CO"/>
                  <w14:ligatures w14:val="none"/>
                </w:rPr>
                <w:tag w:val="goog_rdk_1"/>
                <w:id w:val="-889646072"/>
              </w:sdtPr>
              <w:sdtEndPr/>
              <w:sdtContent/>
            </w:sdt>
            <w:r w:rsidR="006C5A8B" w:rsidRPr="006C5A8B">
              <w:rPr>
                <w:rFonts w:ascii="Tahoma" w:eastAsia="Tahoma" w:hAnsi="Tahoma" w:cs="Tahoma"/>
                <w:kern w:val="0"/>
                <w:lang w:val="es-ES" w:eastAsia="es-CO"/>
                <w14:ligatures w14:val="none"/>
              </w:rPr>
              <w:t>100%</w:t>
            </w:r>
          </w:p>
        </w:tc>
      </w:tr>
      <w:tr w:rsidR="006C5A8B" w:rsidRPr="006C5A8B" w14:paraId="51E40192" w14:textId="77777777" w:rsidTr="00955EFE">
        <w:trPr>
          <w:trHeight w:val="109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B5FF5A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empleados cubiertos por el sistema de gestión de la seguridad y salud en el trabajo sujetos a auditoría interna</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5FB1A1"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806</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2E3C8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892</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5D545D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966</w:t>
            </w:r>
          </w:p>
        </w:tc>
      </w:tr>
      <w:tr w:rsidR="006C5A8B" w:rsidRPr="006C5A8B" w14:paraId="6FEDAE5E" w14:textId="77777777" w:rsidTr="00955EFE">
        <w:trPr>
          <w:trHeight w:val="1170"/>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1D230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Porcentaje de empleados cubiertos por el sistema de gestión de la seguridad y salud en el trabajo sujetos a auditoría interna</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FD6312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7280B3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44293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r>
      <w:tr w:rsidR="006C5A8B" w:rsidRPr="006C5A8B" w14:paraId="5425E894" w14:textId="77777777" w:rsidTr="00955EFE">
        <w:trPr>
          <w:trHeight w:val="139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C473D5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 xml:space="preserve">Número de empleados cubiertos por el sistema de gestión de la seguridad y salud en el trabajo sujetos a auditoría o certificación por parte de un tercero            </w:t>
            </w:r>
            <w:r w:rsidRPr="006C5A8B">
              <w:rPr>
                <w:rFonts w:ascii="Tahoma" w:eastAsia="Tahoma" w:hAnsi="Tahoma" w:cs="Tahoma"/>
                <w:kern w:val="0"/>
                <w:lang w:val="es-ES" w:eastAsia="es-CO"/>
                <w14:ligatures w14:val="none"/>
              </w:rPr>
              <w:tab/>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40A044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806</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F54174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892</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0DCAB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966</w:t>
            </w:r>
          </w:p>
        </w:tc>
      </w:tr>
      <w:tr w:rsidR="006C5A8B" w:rsidRPr="006C5A8B" w14:paraId="2C473357" w14:textId="77777777" w:rsidTr="00955EFE">
        <w:trPr>
          <w:trHeight w:val="1425"/>
        </w:trPr>
        <w:tc>
          <w:tcPr>
            <w:tcW w:w="56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584E68"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Porcentaje de empleados cubiertos por el sistema de gestión de la seguridad y salud en el trabajo sujetos a auditoría o certificación de tercero            </w:t>
            </w:r>
            <w:r w:rsidRPr="006C5A8B">
              <w:rPr>
                <w:rFonts w:ascii="Tahoma" w:eastAsia="Tahoma" w:hAnsi="Tahoma" w:cs="Tahoma"/>
                <w:kern w:val="0"/>
                <w:lang w:val="es-ES" w:eastAsia="es-CO"/>
                <w14:ligatures w14:val="none"/>
              </w:rPr>
              <w:tab/>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C4C10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81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2EDE5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c>
          <w:tcPr>
            <w:tcW w:w="12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13DE6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w:t>
            </w:r>
          </w:p>
        </w:tc>
      </w:tr>
    </w:tbl>
    <w:p w14:paraId="42894D00" w14:textId="77777777" w:rsidR="006C5A8B" w:rsidRPr="00663570" w:rsidRDefault="006C5A8B" w:rsidP="006C5A8B">
      <w:pPr>
        <w:shd w:val="clear" w:color="auto" w:fill="FFFFFF"/>
        <w:spacing w:before="240" w:after="0" w:line="240" w:lineRule="auto"/>
        <w:jc w:val="both"/>
        <w:rPr>
          <w:rFonts w:ascii="Tahoma" w:eastAsia="Tahoma" w:hAnsi="Tahoma" w:cs="Tahoma"/>
          <w:color w:val="0070C0"/>
          <w:kern w:val="0"/>
          <w:lang w:val="es-ES" w:eastAsia="es-CO"/>
          <w14:ligatures w14:val="none"/>
        </w:rPr>
      </w:pPr>
      <w:r w:rsidRPr="00663570">
        <w:rPr>
          <w:rFonts w:ascii="Tahoma" w:eastAsia="Tahoma" w:hAnsi="Tahoma" w:cs="Tahoma"/>
          <w:b/>
          <w:color w:val="0070C0"/>
          <w:kern w:val="0"/>
          <w:lang w:val="es-ES" w:eastAsia="es-CO"/>
          <w14:ligatures w14:val="none"/>
        </w:rPr>
        <w:t>GRI 403-8</w:t>
      </w:r>
    </w:p>
    <w:p w14:paraId="285BD2EA"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 xml:space="preserve">Nota: </w:t>
      </w:r>
      <w:r w:rsidRPr="006C5A8B">
        <w:rPr>
          <w:rFonts w:ascii="Tahoma" w:eastAsia="Tahoma" w:hAnsi="Tahoma" w:cs="Tahoma"/>
          <w:kern w:val="0"/>
          <w:lang w:val="es-ES" w:eastAsia="es-CO"/>
          <w14:ligatures w14:val="none"/>
        </w:rPr>
        <w:t>los datos fueron recopilados a través de una revisión de los documentos de planificación del sistema de gestión y de los informes de gestión SST de los contratistas. </w:t>
      </w:r>
    </w:p>
    <w:p w14:paraId="65B733A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40453C9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Supervisión por parte de la junta hacia temas de SST</w:t>
      </w:r>
    </w:p>
    <w:p w14:paraId="3B31A201"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 través de reuniones mensuales de la mesa gerencial de SST, reuniones trimestrales de revisión gerencial del sistema de gestión y reuniones mensuales del comité paritario de seguridad y salud en el trabajo, se llevó a cabo el seguimiento y análisis del cumplimiento y avance del proceso.</w:t>
      </w:r>
    </w:p>
    <w:p w14:paraId="7A20C897" w14:textId="77777777" w:rsidR="006C5A8B" w:rsidRPr="00663570" w:rsidRDefault="006C5A8B" w:rsidP="006C5A8B">
      <w:pPr>
        <w:shd w:val="clear" w:color="auto" w:fill="FFFFFF"/>
        <w:spacing w:after="0" w:line="240" w:lineRule="auto"/>
        <w:jc w:val="both"/>
        <w:rPr>
          <w:rFonts w:ascii="Tahoma" w:eastAsia="Tahoma" w:hAnsi="Tahoma" w:cs="Tahoma"/>
          <w:color w:val="0070C0"/>
          <w:kern w:val="0"/>
          <w:lang w:val="es-ES" w:eastAsia="es-CO"/>
          <w14:ligatures w14:val="none"/>
        </w:rPr>
      </w:pPr>
      <w:r w:rsidRPr="00663570">
        <w:rPr>
          <w:rFonts w:ascii="Tahoma" w:eastAsia="Tahoma" w:hAnsi="Tahoma" w:cs="Tahoma"/>
          <w:b/>
          <w:color w:val="0070C0"/>
          <w:kern w:val="0"/>
          <w:lang w:val="es-ES" w:eastAsia="es-CO"/>
          <w14:ligatures w14:val="none"/>
        </w:rPr>
        <w:t>GRI 403-8</w:t>
      </w:r>
    </w:p>
    <w:p w14:paraId="56BC4CF4"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10E10F79"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Progreso y metas logradas en materia de SST</w:t>
      </w:r>
    </w:p>
    <w:p w14:paraId="251B5ED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6121554"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El desempeño en SST presentó mejoras, evidenciadas a través de las auditorías internas y externas al sistema de gestión, así como en la obtención de la recertificación en ISO 45001. </w:t>
      </w:r>
    </w:p>
    <w:p w14:paraId="1EC90C5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1EB0A6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Además, se logró el cumplimiento de las metas establecidas en los programas de gestión y se observó un avance significativo en la consolidación de la cultura de seguridad.</w:t>
      </w:r>
    </w:p>
    <w:p w14:paraId="50FAA5A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3AB1ACCB"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Porcentaje de sitios que cuentan con la certificación OHSAS 18001 o 45001</w:t>
      </w:r>
    </w:p>
    <w:tbl>
      <w:tblPr>
        <w:tblW w:w="2642" w:type="dxa"/>
        <w:tblLayout w:type="fixed"/>
        <w:tblLook w:val="0400" w:firstRow="0" w:lastRow="0" w:firstColumn="0" w:lastColumn="0" w:noHBand="0" w:noVBand="1"/>
      </w:tblPr>
      <w:tblGrid>
        <w:gridCol w:w="880"/>
        <w:gridCol w:w="881"/>
        <w:gridCol w:w="881"/>
      </w:tblGrid>
      <w:tr w:rsidR="006C5A8B" w:rsidRPr="006C5A8B" w14:paraId="082F6D07" w14:textId="77777777" w:rsidTr="00955EFE">
        <w:trPr>
          <w:trHeight w:val="285"/>
        </w:trPr>
        <w:tc>
          <w:tcPr>
            <w:tcW w:w="881" w:type="dxa"/>
            <w:tcBorders>
              <w:top w:val="single" w:sz="6" w:space="0" w:color="000000"/>
              <w:bottom w:val="single" w:sz="6" w:space="0" w:color="000000"/>
              <w:right w:val="single" w:sz="6" w:space="0" w:color="000000"/>
            </w:tcBorders>
            <w:tcMar>
              <w:top w:w="0" w:type="dxa"/>
              <w:left w:w="100" w:type="dxa"/>
              <w:bottom w:w="0" w:type="dxa"/>
              <w:right w:w="100" w:type="dxa"/>
            </w:tcMar>
          </w:tcPr>
          <w:p w14:paraId="4D3EB945" w14:textId="77777777" w:rsidR="006C5A8B" w:rsidRPr="006C5A8B" w:rsidRDefault="006C5A8B" w:rsidP="006C5A8B">
            <w:pPr>
              <w:shd w:val="clear" w:color="auto" w:fill="FFFFFF"/>
              <w:spacing w:before="240" w:after="0" w:line="240" w:lineRule="auto"/>
              <w:jc w:val="center"/>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8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565784" w14:textId="77777777" w:rsidR="006C5A8B" w:rsidRPr="006C5A8B" w:rsidRDefault="006C5A8B" w:rsidP="006C5A8B">
            <w:pPr>
              <w:shd w:val="clear" w:color="auto" w:fill="FFFFFF"/>
              <w:spacing w:before="240" w:after="0" w:line="240" w:lineRule="auto"/>
              <w:jc w:val="center"/>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8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685FC8" w14:textId="77777777" w:rsidR="006C5A8B" w:rsidRPr="006C5A8B" w:rsidRDefault="006C5A8B" w:rsidP="006C5A8B">
            <w:pPr>
              <w:shd w:val="clear" w:color="auto" w:fill="FFFFFF"/>
              <w:spacing w:before="240" w:after="0" w:line="240" w:lineRule="auto"/>
              <w:jc w:val="center"/>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53075E3F" w14:textId="77777777" w:rsidTr="00955EFE">
        <w:trPr>
          <w:trHeight w:val="285"/>
        </w:trPr>
        <w:tc>
          <w:tcPr>
            <w:tcW w:w="881" w:type="dxa"/>
            <w:tcBorders>
              <w:top w:val="single" w:sz="6" w:space="0" w:color="000000"/>
              <w:bottom w:val="single" w:sz="6" w:space="0" w:color="000000"/>
              <w:right w:val="single" w:sz="6" w:space="0" w:color="000000"/>
            </w:tcBorders>
            <w:tcMar>
              <w:top w:w="0" w:type="dxa"/>
              <w:left w:w="100" w:type="dxa"/>
              <w:bottom w:w="0" w:type="dxa"/>
              <w:right w:w="100" w:type="dxa"/>
            </w:tcMar>
          </w:tcPr>
          <w:p w14:paraId="1E765234"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100 %</w:t>
            </w:r>
          </w:p>
        </w:tc>
        <w:tc>
          <w:tcPr>
            <w:tcW w:w="88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C3C5242"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100 %</w:t>
            </w:r>
          </w:p>
        </w:tc>
        <w:tc>
          <w:tcPr>
            <w:tcW w:w="88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12C7EBF"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100 %</w:t>
            </w:r>
          </w:p>
        </w:tc>
      </w:tr>
    </w:tbl>
    <w:p w14:paraId="5CB77046" w14:textId="77777777" w:rsidR="006C5A8B" w:rsidRPr="006C5A8B" w:rsidRDefault="006C5A8B" w:rsidP="006C5A8B">
      <w:pPr>
        <w:shd w:val="clear" w:color="auto" w:fill="FFFFFF"/>
        <w:spacing w:before="240" w:after="240" w:line="240" w:lineRule="auto"/>
        <w:jc w:val="both"/>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Personal capacitado en SST</w:t>
      </w:r>
    </w:p>
    <w:p w14:paraId="045B2206"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En 2024 se logró 100% de los empleados capacitados en SST</w:t>
      </w:r>
    </w:p>
    <w:tbl>
      <w:tblPr>
        <w:tblW w:w="8490" w:type="dxa"/>
        <w:tblLayout w:type="fixed"/>
        <w:tblLook w:val="0400" w:firstRow="0" w:lastRow="0" w:firstColumn="0" w:lastColumn="0" w:noHBand="0" w:noVBand="1"/>
      </w:tblPr>
      <w:tblGrid>
        <w:gridCol w:w="5925"/>
        <w:gridCol w:w="870"/>
        <w:gridCol w:w="840"/>
        <w:gridCol w:w="855"/>
      </w:tblGrid>
      <w:tr w:rsidR="006C5A8B" w:rsidRPr="006C5A8B" w14:paraId="2B79A97C" w14:textId="77777777" w:rsidTr="00955EFE">
        <w:trPr>
          <w:trHeight w:val="682"/>
        </w:trPr>
        <w:tc>
          <w:tcPr>
            <w:tcW w:w="59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34E592"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Empleados capacitados en SST  </w:t>
            </w:r>
          </w:p>
        </w:tc>
        <w:tc>
          <w:tcPr>
            <w:tcW w:w="8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57DE0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CED205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5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FFE57C4"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4AB94E38" w14:textId="77777777" w:rsidTr="00955EFE">
        <w:trPr>
          <w:trHeight w:val="1065"/>
        </w:trPr>
        <w:tc>
          <w:tcPr>
            <w:tcW w:w="59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67C51F"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personas que fueron capacitadas en salud y seguridad en el trabajo</w:t>
            </w:r>
          </w:p>
        </w:tc>
        <w:tc>
          <w:tcPr>
            <w:tcW w:w="8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902369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204</w:t>
            </w:r>
          </w:p>
        </w:tc>
        <w:tc>
          <w:tcPr>
            <w:tcW w:w="8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4F604B8"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209</w:t>
            </w:r>
          </w:p>
        </w:tc>
        <w:tc>
          <w:tcPr>
            <w:tcW w:w="85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D1FDEF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966</w:t>
            </w:r>
          </w:p>
        </w:tc>
      </w:tr>
      <w:tr w:rsidR="006C5A8B" w:rsidRPr="006C5A8B" w14:paraId="712CBD26" w14:textId="77777777" w:rsidTr="00955EFE">
        <w:trPr>
          <w:trHeight w:val="1470"/>
        </w:trPr>
        <w:tc>
          <w:tcPr>
            <w:tcW w:w="59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1FAA5D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personas que fueron capacitadas de manera general en donde se incluyeron temas de salud y seguridad en el trabajo</w:t>
            </w:r>
          </w:p>
        </w:tc>
        <w:tc>
          <w:tcPr>
            <w:tcW w:w="8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BA023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806</w:t>
            </w:r>
          </w:p>
        </w:tc>
        <w:tc>
          <w:tcPr>
            <w:tcW w:w="8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5F436F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209</w:t>
            </w:r>
          </w:p>
        </w:tc>
        <w:tc>
          <w:tcPr>
            <w:tcW w:w="85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4EDC85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966</w:t>
            </w:r>
          </w:p>
        </w:tc>
      </w:tr>
    </w:tbl>
    <w:p w14:paraId="5C61566F" w14:textId="77777777" w:rsidR="006C5A8B" w:rsidRPr="006C5A8B" w:rsidRDefault="006C5A8B" w:rsidP="006C5A8B">
      <w:pPr>
        <w:shd w:val="clear" w:color="auto" w:fill="FFFFFF"/>
        <w:spacing w:before="240" w:after="0" w:line="240" w:lineRule="auto"/>
        <w:jc w:val="both"/>
        <w:rPr>
          <w:rFonts w:ascii="Tahoma" w:eastAsia="Tahoma" w:hAnsi="Tahoma" w:cs="Tahoma"/>
          <w:b/>
          <w:kern w:val="0"/>
          <w:lang w:val="es-ES" w:eastAsia="es-CO"/>
          <w14:ligatures w14:val="none"/>
        </w:rPr>
      </w:pPr>
    </w:p>
    <w:p w14:paraId="1D3DD54A" w14:textId="77777777" w:rsidR="006C5A8B" w:rsidRPr="006C5A8B" w:rsidRDefault="006C5A8B" w:rsidP="006C5A8B">
      <w:pPr>
        <w:shd w:val="clear" w:color="auto" w:fill="FFFFFF"/>
        <w:spacing w:before="240" w:after="0" w:line="240" w:lineRule="auto"/>
        <w:jc w:val="both"/>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Compromisos a la mejora continua en temas de SST</w:t>
      </w:r>
    </w:p>
    <w:p w14:paraId="682C401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4A4764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Se estableció una estructura de gobierno corporativo mediante la creación de mesas de trabajo y una mesa gerencial de SST con la participación de los líderes a través de estrategias como las caminatas gerenciales y las mesas de trabajo de SST. </w:t>
      </w:r>
    </w:p>
    <w:p w14:paraId="345A17D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7F50BC8F"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Además, se implementó una plataforma que integra las acciones de mejora, correcciones y acciones correctivas de la empresa, con seguimiento continuo en las revisiones gerenciales y los comités de gerencia.</w:t>
      </w:r>
    </w:p>
    <w:p w14:paraId="575EC20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69460E42"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3F9DEF04" w14:textId="77777777" w:rsidR="006C5A8B" w:rsidRPr="006C5A8B" w:rsidRDefault="006C5A8B" w:rsidP="006C5A8B">
      <w:pPr>
        <w:shd w:val="clear" w:color="auto" w:fill="FFFFFF"/>
        <w:spacing w:after="0" w:line="240" w:lineRule="auto"/>
        <w:jc w:val="both"/>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Objetivos cuantitativos y específicos para reducir riesgos laborales</w:t>
      </w:r>
    </w:p>
    <w:p w14:paraId="28E73BA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49E84F48"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TRANSELCA se planteó metas para disminuir la tasa de la tasa de incidentes o TRIFR por sus siglas en inglés.</w:t>
      </w:r>
    </w:p>
    <w:p w14:paraId="70366049" w14:textId="77777777" w:rsidR="006C5A8B" w:rsidRPr="006C5A8B" w:rsidRDefault="006C5A8B" w:rsidP="00AC1146">
      <w:pPr>
        <w:numPr>
          <w:ilvl w:val="0"/>
          <w:numId w:val="96"/>
        </w:numPr>
        <w:shd w:val="clear" w:color="auto" w:fill="FFFFFF"/>
        <w:spacing w:before="240" w:after="0" w:line="240" w:lineRule="auto"/>
        <w:jc w:val="both"/>
        <w:rPr>
          <w:rFonts w:ascii="Tahoma" w:eastAsia="Arial" w:hAnsi="Tahoma" w:cs="Tahoma"/>
          <w:kern w:val="0"/>
          <w:lang w:val="es-ES" w:eastAsia="es-CO"/>
          <w14:ligatures w14:val="none"/>
        </w:rPr>
      </w:pPr>
      <w:r w:rsidRPr="006C5A8B">
        <w:rPr>
          <w:rFonts w:ascii="Tahoma" w:eastAsia="Tahoma" w:hAnsi="Tahoma" w:cs="Tahoma"/>
          <w:b/>
          <w:kern w:val="0"/>
          <w:lang w:val="es-ES" w:eastAsia="es-CO"/>
          <w14:ligatures w14:val="none"/>
        </w:rPr>
        <w:t>2024:</w:t>
      </w:r>
      <w:r w:rsidRPr="006C5A8B">
        <w:rPr>
          <w:rFonts w:ascii="Tahoma" w:eastAsia="Tahoma" w:hAnsi="Tahoma" w:cs="Tahoma"/>
          <w:kern w:val="0"/>
          <w:lang w:val="es-ES" w:eastAsia="es-CO"/>
          <w14:ligatures w14:val="none"/>
        </w:rPr>
        <w:t xml:space="preserve"> 2,95 </w:t>
      </w:r>
    </w:p>
    <w:p w14:paraId="7118B645" w14:textId="77777777" w:rsidR="006C5A8B" w:rsidRPr="006C5A8B" w:rsidRDefault="006C5A8B" w:rsidP="00AC1146">
      <w:pPr>
        <w:numPr>
          <w:ilvl w:val="0"/>
          <w:numId w:val="96"/>
        </w:numPr>
        <w:shd w:val="clear" w:color="auto" w:fill="FFFFFF"/>
        <w:spacing w:after="0" w:line="240" w:lineRule="auto"/>
        <w:jc w:val="both"/>
        <w:rPr>
          <w:rFonts w:ascii="Tahoma" w:eastAsia="Arial" w:hAnsi="Tahoma" w:cs="Tahoma"/>
          <w:kern w:val="0"/>
          <w:lang w:val="es-ES" w:eastAsia="es-CO"/>
          <w14:ligatures w14:val="none"/>
        </w:rPr>
      </w:pPr>
      <w:r w:rsidRPr="006C5A8B">
        <w:rPr>
          <w:rFonts w:ascii="Tahoma" w:eastAsia="Tahoma" w:hAnsi="Tahoma" w:cs="Tahoma"/>
          <w:b/>
          <w:kern w:val="0"/>
          <w:lang w:val="es-ES" w:eastAsia="es-CO"/>
          <w14:ligatures w14:val="none"/>
        </w:rPr>
        <w:t>2025:</w:t>
      </w:r>
      <w:r w:rsidRPr="006C5A8B">
        <w:rPr>
          <w:rFonts w:ascii="Tahoma" w:eastAsia="Tahoma" w:hAnsi="Tahoma" w:cs="Tahoma"/>
          <w:kern w:val="0"/>
          <w:lang w:val="es-ES" w:eastAsia="es-CO"/>
          <w14:ligatures w14:val="none"/>
        </w:rPr>
        <w:t xml:space="preserve"> 2,21 </w:t>
      </w:r>
    </w:p>
    <w:p w14:paraId="5C156888"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3C57FFC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sz w:val="26"/>
          <w:szCs w:val="26"/>
          <w:lang w:val="es-ES" w:eastAsia="es-CO"/>
          <w14:ligatures w14:val="none"/>
        </w:rPr>
        <w:t>Identificación de peligros y evaluaciones</w:t>
      </w:r>
    </w:p>
    <w:p w14:paraId="16FD1F8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7AE955F"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Identificación de posibles afectaciones a la salud</w:t>
      </w:r>
    </w:p>
    <w:p w14:paraId="4FA51A81"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BF69B29"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Se estableció un procedimiento para la identificación de peligros, evaluación y valoración de riesgos (TPD1013). Esta identificación se llevó a cabo durante las inspecciones planeadas de SST, el reporte de incidentes, el registro de actos inseguros y condiciones peligrosas. </w:t>
      </w:r>
    </w:p>
    <w:p w14:paraId="0EAB34A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590F024B"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En los procesos de reinducción de los trabajadores se recopiló y actualizó información sobre los riesgos y sus controles, asegurando su aplicación en las instalaciones y procesos de la empresa.</w:t>
      </w:r>
    </w:p>
    <w:p w14:paraId="2FD7D01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557AC59"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Integración de los planes de acción</w:t>
      </w:r>
    </w:p>
    <w:p w14:paraId="0F7B9492"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12FF6E6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Conforme a la evaluación de riesgos, se establecieron acciones para su control, incluyendo eliminación, control de ingeniería, sustitución, control administrativo y el uso de elementos de protección. </w:t>
      </w:r>
    </w:p>
    <w:p w14:paraId="6C3AEBDC"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B77489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Igualmente, a través de los procesos de auditoría, inspecciones, investigación de accidentes y revisiones gerenciales, se llevó a cabo un análisis de las causas que originaron desviaciones, permitiendo la implementación de acciones correctivas y/o de mejora.</w:t>
      </w:r>
    </w:p>
    <w:p w14:paraId="1A28917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161361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Identificación de riesgos por parte de los trabajadores</w:t>
      </w:r>
    </w:p>
    <w:p w14:paraId="296491C8"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12396A72"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A través de la aplicación </w:t>
      </w:r>
      <w:r w:rsidRPr="006C5A8B">
        <w:rPr>
          <w:rFonts w:ascii="Tahoma" w:eastAsia="Tahoma" w:hAnsi="Tahoma" w:cs="Tahoma"/>
          <w:b/>
          <w:kern w:val="0"/>
          <w:lang w:val="es-ES" w:eastAsia="es-CO"/>
          <w14:ligatures w14:val="none"/>
        </w:rPr>
        <w:t>APP Reportaté</w:t>
      </w:r>
      <w:r w:rsidRPr="006C5A8B">
        <w:rPr>
          <w:rFonts w:ascii="Tahoma" w:eastAsia="Tahoma" w:hAnsi="Tahoma" w:cs="Tahoma"/>
          <w:kern w:val="0"/>
          <w:lang w:val="es-ES" w:eastAsia="es-CO"/>
          <w14:ligatures w14:val="none"/>
        </w:rPr>
        <w:t>, los trabajadores reportaron actos inseguros, condiciones peligrosas o incidentes. También pudieron notificar los peligros mediante el comité paritario de seguridad y salud en el trabajo utilizando la herramienta virtual durante la inducción anual de SST o contactando directamente al personal de SST de la empresa.</w:t>
      </w:r>
    </w:p>
    <w:p w14:paraId="3FB54126"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7912F50"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Protección de los trabajadores al notificar riesgos</w:t>
      </w:r>
    </w:p>
    <w:p w14:paraId="07D0E81B"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746517B1"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Se establecieron mecanismos para el reporte anónimo de peligros garantizando que los trabajadores no enfrenten represalias ni consecuencias. Este respaldo es proporcionado por el Comité de Convivencia Laboral y el Comité Obrero Patronal. De la misma forma, la aplicación APP Reportaté incluyó la opción de realizar reportes de manera anónima, fortaleciendo la confianza en el sistema de notificación.</w:t>
      </w:r>
    </w:p>
    <w:p w14:paraId="654AD0DE"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23BC05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Procesos para los trabajadores en caso de querer tomar un paso al costado en caso de peligro evidente</w:t>
      </w:r>
    </w:p>
    <w:p w14:paraId="494DE44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4C3C4800"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Los compromisos por la Vida fueron establecidos como una directriz fundamental que respalda estas decisiones, incluyendo el principio que cualquier trabajador puede detener una tarea si esta compromete su vida o su salud. </w:t>
      </w:r>
    </w:p>
    <w:p w14:paraId="3FA2F34E"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695CBFDD"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 igual forma, en estas situaciones, los trabajadores pudieron recurrir al Comité Paritario de Seguridad y Salud en el Trabajo como mecanismo de participación o contactar directamente a la coordinación de Seguridad y Salud en el Trabajo.</w:t>
      </w:r>
    </w:p>
    <w:p w14:paraId="26397AE5"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062C757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lastRenderedPageBreak/>
        <w:t>Protección a los trabajadores en caso de retiro en situaciones peligrosas</w:t>
      </w:r>
    </w:p>
    <w:p w14:paraId="72A31AA3"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7641D932"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Adicional al Comité Paritario de Seguridad y Salud en el Trabajo, la empresa cuenta con un Comité de Convivencia Laboral encargado de intervenir en casos de posible acoso laboral, y un Comité Obrero Patronal, donde se abordaron temas laborales en conjunto con la organización sindical.</w:t>
      </w:r>
    </w:p>
    <w:p w14:paraId="57364847"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587FA209"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Funciones de los servicios de salud</w:t>
      </w:r>
    </w:p>
    <w:p w14:paraId="33780FBB"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20005852" w14:textId="77777777" w:rsidR="006C5A8B" w:rsidRPr="006C5A8B" w:rsidRDefault="006C5A8B" w:rsidP="00AC1146">
      <w:pPr>
        <w:numPr>
          <w:ilvl w:val="0"/>
          <w:numId w:val="97"/>
        </w:numPr>
        <w:shd w:val="clear" w:color="auto" w:fill="FFFFFF"/>
        <w:spacing w:after="0" w:line="240" w:lineRule="auto"/>
        <w:ind w:left="283"/>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Desarrollo de matriz de riesgos por procesos y matrices de identificación de peligros y riesgos por sedes y grupos ocupacionales.</w:t>
      </w:r>
    </w:p>
    <w:p w14:paraId="4848FE08" w14:textId="77777777" w:rsidR="006C5A8B" w:rsidRPr="006C5A8B" w:rsidRDefault="006C5A8B" w:rsidP="00AC1146">
      <w:pPr>
        <w:numPr>
          <w:ilvl w:val="0"/>
          <w:numId w:val="97"/>
        </w:numPr>
        <w:shd w:val="clear" w:color="auto" w:fill="FFFFFF"/>
        <w:spacing w:after="0" w:line="240" w:lineRule="auto"/>
        <w:ind w:left="283"/>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Análisis de vulnerabilidad de las sedes y activos.</w:t>
      </w:r>
    </w:p>
    <w:p w14:paraId="3346543F" w14:textId="77777777" w:rsidR="006C5A8B" w:rsidRPr="006C5A8B" w:rsidRDefault="006C5A8B" w:rsidP="00AC1146">
      <w:pPr>
        <w:numPr>
          <w:ilvl w:val="0"/>
          <w:numId w:val="97"/>
        </w:numPr>
        <w:shd w:val="clear" w:color="auto" w:fill="FFFFFF"/>
        <w:spacing w:after="0" w:line="240" w:lineRule="auto"/>
        <w:ind w:left="283"/>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Monitoreo de condiciones ambientales seguras y saludables.</w:t>
      </w:r>
    </w:p>
    <w:p w14:paraId="2C1AB879" w14:textId="77777777" w:rsidR="006C5A8B" w:rsidRPr="006C5A8B" w:rsidRDefault="006C5A8B" w:rsidP="00AC1146">
      <w:pPr>
        <w:numPr>
          <w:ilvl w:val="0"/>
          <w:numId w:val="97"/>
        </w:numPr>
        <w:shd w:val="clear" w:color="auto" w:fill="FFFFFF"/>
        <w:spacing w:after="0" w:line="240" w:lineRule="auto"/>
        <w:ind w:left="283"/>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Evaluación de puestos de trabajo.</w:t>
      </w:r>
    </w:p>
    <w:p w14:paraId="1823CDA8"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30955563" w14:textId="77777777" w:rsidR="006C5A8B" w:rsidRPr="006C5A8B" w:rsidRDefault="006C5A8B" w:rsidP="006C5A8B">
      <w:pPr>
        <w:shd w:val="clear" w:color="auto" w:fill="FFFFFF"/>
        <w:spacing w:after="0" w:line="240" w:lineRule="auto"/>
        <w:jc w:val="both"/>
        <w:rPr>
          <w:rFonts w:ascii="Tahoma" w:eastAsia="Tahoma" w:hAnsi="Tahoma" w:cs="Tahoma"/>
          <w:b/>
          <w:kern w:val="0"/>
          <w:sz w:val="26"/>
          <w:szCs w:val="26"/>
          <w:lang w:val="es-ES" w:eastAsia="es-CO"/>
          <w14:ligatures w14:val="none"/>
        </w:rPr>
      </w:pPr>
      <w:r w:rsidRPr="006C5A8B">
        <w:rPr>
          <w:rFonts w:ascii="Tahoma" w:eastAsia="Tahoma" w:hAnsi="Tahoma" w:cs="Tahoma"/>
          <w:b/>
          <w:kern w:val="0"/>
          <w:sz w:val="26"/>
          <w:szCs w:val="26"/>
          <w:lang w:val="es-ES" w:eastAsia="es-CO"/>
          <w14:ligatures w14:val="none"/>
        </w:rPr>
        <w:t>Incidentes y accidentes de trabajo</w:t>
      </w:r>
    </w:p>
    <w:p w14:paraId="6BF98902" w14:textId="77777777" w:rsidR="006C5A8B" w:rsidRPr="006C5A8B" w:rsidRDefault="006C5A8B" w:rsidP="006C5A8B">
      <w:pPr>
        <w:shd w:val="clear" w:color="auto" w:fill="FFFFFF"/>
        <w:spacing w:after="0" w:line="240" w:lineRule="auto"/>
        <w:jc w:val="both"/>
        <w:rPr>
          <w:rFonts w:ascii="Tahoma" w:eastAsia="Tahoma" w:hAnsi="Tahoma" w:cs="Tahoma"/>
          <w:kern w:val="0"/>
          <w:lang w:val="es-ES" w:eastAsia="es-CO"/>
          <w14:ligatures w14:val="none"/>
        </w:rPr>
      </w:pPr>
    </w:p>
    <w:p w14:paraId="5F0A0DF5"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Días de ausencia de los empleados</w:t>
      </w:r>
    </w:p>
    <w:tbl>
      <w:tblPr>
        <w:tblW w:w="8488" w:type="dxa"/>
        <w:tblLayout w:type="fixed"/>
        <w:tblLook w:val="0400" w:firstRow="0" w:lastRow="0" w:firstColumn="0" w:lastColumn="0" w:noHBand="0" w:noVBand="1"/>
      </w:tblPr>
      <w:tblGrid>
        <w:gridCol w:w="5946"/>
        <w:gridCol w:w="850"/>
        <w:gridCol w:w="851"/>
        <w:gridCol w:w="841"/>
      </w:tblGrid>
      <w:tr w:rsidR="006C5A8B" w:rsidRPr="006C5A8B" w14:paraId="5F717C4C" w14:textId="77777777" w:rsidTr="00955EFE">
        <w:trPr>
          <w:trHeight w:val="54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FC64FFD"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Ausentismos empleados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5F76A8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BEEA8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A371D7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10782222" w14:textId="77777777" w:rsidTr="00955EFE">
        <w:trPr>
          <w:trHeight w:val="55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FBA604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ausencia breve en empleados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0D4B01"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50347D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9E710B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r>
      <w:tr w:rsidR="006C5A8B" w:rsidRPr="006C5A8B" w14:paraId="59C016D4" w14:textId="77777777" w:rsidTr="00955EFE">
        <w:trPr>
          <w:trHeight w:val="79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BC21EE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de ausencia prolongada en empleados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29939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0FB66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CD4C61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bl>
    <w:p w14:paraId="3938B5DF"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Días de ausencia de los empleados</w:t>
      </w:r>
    </w:p>
    <w:tbl>
      <w:tblPr>
        <w:tblW w:w="8488" w:type="dxa"/>
        <w:tblLayout w:type="fixed"/>
        <w:tblLook w:val="0400" w:firstRow="0" w:lastRow="0" w:firstColumn="0" w:lastColumn="0" w:noHBand="0" w:noVBand="1"/>
      </w:tblPr>
      <w:tblGrid>
        <w:gridCol w:w="5946"/>
        <w:gridCol w:w="850"/>
        <w:gridCol w:w="851"/>
        <w:gridCol w:w="841"/>
      </w:tblGrid>
      <w:tr w:rsidR="006C5A8B" w:rsidRPr="006C5A8B" w14:paraId="4BB23160" w14:textId="77777777" w:rsidTr="00955EFE">
        <w:trPr>
          <w:trHeight w:val="55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A60806"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Ausentismos contratistas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F8EAA1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F2115D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50BEB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57F0F83B" w14:textId="77777777" w:rsidTr="00955EFE">
        <w:trPr>
          <w:trHeight w:val="34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E1D0C1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ausencia breve en contratistas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B66960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95FD5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A25671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w:t>
            </w:r>
          </w:p>
        </w:tc>
      </w:tr>
      <w:tr w:rsidR="006C5A8B" w:rsidRPr="006C5A8B" w14:paraId="3E752116" w14:textId="77777777" w:rsidTr="00955EFE">
        <w:trPr>
          <w:trHeight w:val="510"/>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6FDA9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de ausencia prolongada en contratistas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821563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9</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1F5CF9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6</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2938C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w:t>
            </w:r>
          </w:p>
        </w:tc>
      </w:tr>
    </w:tbl>
    <w:p w14:paraId="2E831233"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por accidente laboral de los empleados</w:t>
      </w:r>
    </w:p>
    <w:tbl>
      <w:tblPr>
        <w:tblW w:w="8487" w:type="dxa"/>
        <w:tblLayout w:type="fixed"/>
        <w:tblLook w:val="0400" w:firstRow="0" w:lastRow="0" w:firstColumn="0" w:lastColumn="0" w:noHBand="0" w:noVBand="1"/>
      </w:tblPr>
      <w:tblGrid>
        <w:gridCol w:w="5283"/>
        <w:gridCol w:w="1068"/>
        <w:gridCol w:w="1068"/>
        <w:gridCol w:w="1068"/>
      </w:tblGrid>
      <w:tr w:rsidR="006C5A8B" w:rsidRPr="006C5A8B" w14:paraId="21B604DC" w14:textId="77777777" w:rsidTr="00955EFE">
        <w:trPr>
          <w:trHeight w:val="290"/>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5DF3C2"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por accidentes laborales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05D536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754C4D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A0F8D8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287D40C3" w14:textId="77777777" w:rsidTr="00955EFE">
        <w:trPr>
          <w:trHeight w:val="290"/>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E52CF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horas trabajadas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8FAA65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482.792</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2CB602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481.220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F353D4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493.069</w:t>
            </w:r>
          </w:p>
        </w:tc>
      </w:tr>
      <w:tr w:rsidR="006C5A8B" w:rsidRPr="006C5A8B" w14:paraId="04ECCB89" w14:textId="77777777" w:rsidTr="00955EFE">
        <w:trPr>
          <w:trHeight w:val="750"/>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82A3C7F"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Número de fallecimientos resultantes de una lesión por accidente laboral </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5FD52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2817DD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C60CF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0A566E4A" w14:textId="77777777" w:rsidTr="00955EFE">
        <w:trPr>
          <w:trHeight w:val="442"/>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B48EBDD"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Tasa de fallecimientos resultantes de una lesión por accidente laboral</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78D2D6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E13205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ECC2FE6"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17719229" w14:textId="77777777" w:rsidTr="00955EFE">
        <w:trPr>
          <w:trHeight w:val="1215"/>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0D1B74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con grandes consecuencias (sin incluir fallecimientos)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718AB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E4745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4FF4DC"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20D31BF2" w14:textId="77777777" w:rsidTr="00955EFE">
        <w:trPr>
          <w:trHeight w:val="1380"/>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B00FA7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Tasa de lesiones por accidente laboral con grandes consecuencias (sin incluir fallecimientos)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F96BE8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5189D4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C55C0D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01D6364E" w14:textId="77777777" w:rsidTr="00955EFE">
        <w:trPr>
          <w:trHeight w:val="585"/>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E3DCB8"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registrables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997557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DB668C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9DF97F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r>
      <w:tr w:rsidR="006C5A8B" w:rsidRPr="006C5A8B" w14:paraId="55BD758E" w14:textId="77777777" w:rsidTr="00955EFE">
        <w:trPr>
          <w:trHeight w:val="645"/>
        </w:trPr>
        <w:tc>
          <w:tcPr>
            <w:tcW w:w="52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EDF1B5"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Tasa de lesiones por accidente laboral registrables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05E560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4,14</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17B1B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E08E171"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2,03</w:t>
            </w:r>
          </w:p>
        </w:tc>
      </w:tr>
    </w:tbl>
    <w:p w14:paraId="6053A9B1"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por accidente laboral registrable con tiempo perdido de los empleados</w:t>
      </w:r>
    </w:p>
    <w:tbl>
      <w:tblPr>
        <w:tblW w:w="8488" w:type="dxa"/>
        <w:tblLayout w:type="fixed"/>
        <w:tblLook w:val="0400" w:firstRow="0" w:lastRow="0" w:firstColumn="0" w:lastColumn="0" w:noHBand="0" w:noVBand="1"/>
      </w:tblPr>
      <w:tblGrid>
        <w:gridCol w:w="5946"/>
        <w:gridCol w:w="850"/>
        <w:gridCol w:w="851"/>
        <w:gridCol w:w="841"/>
      </w:tblGrid>
      <w:tr w:rsidR="006C5A8B" w:rsidRPr="006C5A8B" w14:paraId="77E6B9D6" w14:textId="77777777" w:rsidTr="00955EFE">
        <w:trPr>
          <w:trHeight w:val="60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4A1D4B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LTIFR</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6AACD9"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75F366"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A075F7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784B1A36" w14:textId="77777777" w:rsidTr="00955EFE">
        <w:trPr>
          <w:trHeight w:val="1080"/>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97443DF"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registrable con tiempo perdido</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5CA8E4"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C7F55C"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71CD604"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52639625" w14:textId="77777777" w:rsidTr="00955EFE">
        <w:trPr>
          <w:trHeight w:val="28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43983BF"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Total, LTIFR </w:t>
            </w:r>
            <w:r w:rsidRPr="006C5A8B">
              <w:rPr>
                <w:rFonts w:ascii="Tahoma" w:eastAsia="Tahoma" w:hAnsi="Tahoma" w:cs="Tahoma"/>
                <w:kern w:val="0"/>
                <w:lang w:val="es-ES" w:eastAsia="es-CO"/>
                <w14:ligatures w14:val="none"/>
              </w:rPr>
              <w:tab/>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80396F"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2,07</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B284BB1"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3EC7C25" w14:textId="77777777" w:rsidR="006C5A8B" w:rsidRPr="006C5A8B" w:rsidRDefault="006C5A8B" w:rsidP="00F54136">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bl>
    <w:p w14:paraId="5183E946"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por accidente laboral de los contratistas</w:t>
      </w:r>
    </w:p>
    <w:tbl>
      <w:tblPr>
        <w:tblW w:w="8487" w:type="dxa"/>
        <w:tblLayout w:type="fixed"/>
        <w:tblLook w:val="0400" w:firstRow="0" w:lastRow="0" w:firstColumn="0" w:lastColumn="0" w:noHBand="0" w:noVBand="1"/>
      </w:tblPr>
      <w:tblGrid>
        <w:gridCol w:w="4683"/>
        <w:gridCol w:w="1268"/>
        <w:gridCol w:w="1268"/>
        <w:gridCol w:w="1268"/>
      </w:tblGrid>
      <w:tr w:rsidR="006C5A8B" w:rsidRPr="006C5A8B" w14:paraId="1243272E" w14:textId="77777777" w:rsidTr="00955EFE">
        <w:trPr>
          <w:trHeight w:val="620"/>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99087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por accidentes laborales</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5E73FA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81FC3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CB6220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2744ABDC" w14:textId="77777777" w:rsidTr="00955EFE">
        <w:trPr>
          <w:trHeight w:val="380"/>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542C6A2"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horas trabajadas</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CB142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1.240.026</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D14488"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1.311.653</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13EF4D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1.341.550</w:t>
            </w:r>
          </w:p>
        </w:tc>
      </w:tr>
      <w:tr w:rsidR="006C5A8B" w:rsidRPr="006C5A8B" w14:paraId="3C2AE0FC" w14:textId="77777777" w:rsidTr="00955EFE">
        <w:trPr>
          <w:trHeight w:val="720"/>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081EE24"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fallecimientos resultantes de una lesión por accidente laboral</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999F0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77712C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E195050"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5318C2C0" w14:textId="77777777" w:rsidTr="00955EFE">
        <w:trPr>
          <w:trHeight w:val="510"/>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405E7C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Tasa de fallecimientos resultantes de una lesión por accidente laboral</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19AB5E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7407618"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FF4C2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4ABC5F6C" w14:textId="77777777" w:rsidTr="00955EFE">
        <w:trPr>
          <w:trHeight w:val="885"/>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7F434B6"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con grandes consecuencias (sin incluir fallecimientos)</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9718B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59BDBD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4E1D0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49215FA9" w14:textId="77777777" w:rsidTr="00955EFE">
        <w:trPr>
          <w:trHeight w:val="1125"/>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A58FD2"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Tasa de lesiones por accidente laboral con grandes consecuencias (sin incluir fallecimientos)</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58B401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A273D5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0,76</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E687A1C"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741DF1B9" w14:textId="77777777" w:rsidTr="00955EFE">
        <w:trPr>
          <w:trHeight w:val="605"/>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05FA7EB"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registrables</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0B9ADD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13</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E4E4E1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7</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17C643"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4</w:t>
            </w:r>
          </w:p>
        </w:tc>
      </w:tr>
      <w:tr w:rsidR="006C5A8B" w:rsidRPr="006C5A8B" w14:paraId="600DA967" w14:textId="77777777" w:rsidTr="00955EFE">
        <w:trPr>
          <w:trHeight w:val="825"/>
        </w:trPr>
        <w:tc>
          <w:tcPr>
            <w:tcW w:w="468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BCF29F0"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Tasa de lesiones por accidente laboral registrables            </w:t>
            </w:r>
            <w:r w:rsidRPr="006C5A8B">
              <w:rPr>
                <w:rFonts w:ascii="Tahoma" w:eastAsia="Tahoma" w:hAnsi="Tahoma" w:cs="Tahoma"/>
                <w:kern w:val="0"/>
                <w:lang w:val="es-ES" w:eastAsia="es-CO"/>
                <w14:ligatures w14:val="none"/>
              </w:rPr>
              <w:tab/>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588AD0A"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10,48</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630BBC"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5,34</w:t>
            </w:r>
          </w:p>
        </w:tc>
        <w:tc>
          <w:tcPr>
            <w:tcW w:w="12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DC6007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2,98</w:t>
            </w:r>
          </w:p>
        </w:tc>
      </w:tr>
    </w:tbl>
    <w:p w14:paraId="0728C723"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Lesiones laborales de los contratistas</w:t>
      </w:r>
    </w:p>
    <w:tbl>
      <w:tblPr>
        <w:tblW w:w="8488" w:type="dxa"/>
        <w:tblLayout w:type="fixed"/>
        <w:tblLook w:val="0400" w:firstRow="0" w:lastRow="0" w:firstColumn="0" w:lastColumn="0" w:noHBand="0" w:noVBand="1"/>
      </w:tblPr>
      <w:tblGrid>
        <w:gridCol w:w="5946"/>
        <w:gridCol w:w="850"/>
        <w:gridCol w:w="851"/>
        <w:gridCol w:w="841"/>
      </w:tblGrid>
      <w:tr w:rsidR="006C5A8B" w:rsidRPr="006C5A8B" w14:paraId="7578850B" w14:textId="77777777" w:rsidTr="00955EFE">
        <w:trPr>
          <w:trHeight w:val="555"/>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26C40B6"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 xml:space="preserve">LTIFR </w:t>
            </w:r>
            <w:r w:rsidRPr="006C5A8B">
              <w:rPr>
                <w:rFonts w:ascii="Tahoma" w:eastAsia="Tahoma" w:hAnsi="Tahoma" w:cs="Tahoma"/>
                <w:b/>
                <w:kern w:val="0"/>
                <w:lang w:val="es-ES" w:eastAsia="es-CO"/>
                <w14:ligatures w14:val="none"/>
              </w:rPr>
              <w:tab/>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FB6C6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2022</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17A363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2023</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87E6F1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68CF2839" w14:textId="77777777" w:rsidTr="00955EFE">
        <w:trPr>
          <w:trHeight w:val="1170"/>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94DFF9"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lesiones por accidente laboral registrable con tiempo perdido</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961195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5</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D16F0A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3</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41C32A2"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w:t>
            </w:r>
          </w:p>
        </w:tc>
      </w:tr>
      <w:tr w:rsidR="006C5A8B" w:rsidRPr="006C5A8B" w14:paraId="2BF247CC" w14:textId="77777777" w:rsidTr="00955EFE">
        <w:trPr>
          <w:trHeight w:val="287"/>
        </w:trPr>
        <w:tc>
          <w:tcPr>
            <w:tcW w:w="594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46F576"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 xml:space="preserve">Total, LTIFR </w:t>
            </w:r>
            <w:r w:rsidRPr="006C5A8B">
              <w:rPr>
                <w:rFonts w:ascii="Tahoma" w:eastAsia="Tahoma" w:hAnsi="Tahoma" w:cs="Tahoma"/>
                <w:kern w:val="0"/>
                <w:lang w:val="es-ES" w:eastAsia="es-CO"/>
                <w14:ligatures w14:val="none"/>
              </w:rPr>
              <w:tab/>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43992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3,72</w:t>
            </w:r>
          </w:p>
        </w:tc>
        <w:tc>
          <w:tcPr>
            <w:tcW w:w="85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356DBDC"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2,28</w:t>
            </w:r>
          </w:p>
        </w:tc>
        <w:tc>
          <w:tcPr>
            <w:tcW w:w="8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63D625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1,491</w:t>
            </w:r>
          </w:p>
        </w:tc>
      </w:tr>
    </w:tbl>
    <w:p w14:paraId="08B92CC3"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Tipo de lesiones por accidente laboral de los contratistas</w:t>
      </w:r>
    </w:p>
    <w:p w14:paraId="42F6EB8A"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p>
    <w:p w14:paraId="15B6D78A"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Las principales lesiones durante el año fueron:</w:t>
      </w:r>
    </w:p>
    <w:p w14:paraId="22778AC6" w14:textId="77777777" w:rsidR="006C5A8B" w:rsidRPr="006C5A8B" w:rsidRDefault="006C5A8B" w:rsidP="00AC1146">
      <w:pPr>
        <w:numPr>
          <w:ilvl w:val="0"/>
          <w:numId w:val="98"/>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Contusión - golpe</w:t>
      </w:r>
    </w:p>
    <w:p w14:paraId="5F1385E6" w14:textId="77777777" w:rsidR="006C5A8B" w:rsidRPr="006C5A8B" w:rsidRDefault="006C5A8B" w:rsidP="00AC1146">
      <w:pPr>
        <w:numPr>
          <w:ilvl w:val="0"/>
          <w:numId w:val="98"/>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Herida - laceración</w:t>
      </w:r>
    </w:p>
    <w:p w14:paraId="0B04BCB2" w14:textId="77777777" w:rsidR="006C5A8B" w:rsidRPr="006C5A8B" w:rsidRDefault="006C5A8B" w:rsidP="00AC1146">
      <w:pPr>
        <w:numPr>
          <w:ilvl w:val="0"/>
          <w:numId w:val="98"/>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Esguince - desgarro</w:t>
      </w:r>
    </w:p>
    <w:p w14:paraId="4FC7C0F8" w14:textId="77777777" w:rsidR="006C5A8B" w:rsidRPr="006C5A8B" w:rsidRDefault="006C5A8B" w:rsidP="00AC1146">
      <w:pPr>
        <w:numPr>
          <w:ilvl w:val="0"/>
          <w:numId w:val="98"/>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Fractura</w:t>
      </w:r>
    </w:p>
    <w:p w14:paraId="3D42CECC"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Información de lesiones por accidente laboral</w:t>
      </w:r>
    </w:p>
    <w:p w14:paraId="470446BE"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p>
    <w:p w14:paraId="0A1AD0AD"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Los peligros laborales que presentan un riesgo de lesión por accidente laboral con grandes consecuencias se determinan mediante un proceso sistemático que incluye:</w:t>
      </w:r>
    </w:p>
    <w:p w14:paraId="41C434AB" w14:textId="77777777" w:rsidR="006C5A8B" w:rsidRPr="006C5A8B" w:rsidRDefault="006C5A8B" w:rsidP="00AC1146">
      <w:pPr>
        <w:numPr>
          <w:ilvl w:val="0"/>
          <w:numId w:val="99"/>
        </w:num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lastRenderedPageBreak/>
        <w:t>Diligenciamiento de la matriz de identificación de peligros, evaluación de riesgos y determinación de controles, junto con un análisis de riesgo durante el diligenciamiento de permisos de trabajo para actividades críticas.</w:t>
      </w:r>
    </w:p>
    <w:p w14:paraId="1F256A53" w14:textId="77777777" w:rsidR="006C5A8B" w:rsidRPr="006C5A8B" w:rsidRDefault="006C5A8B" w:rsidP="00AC1146">
      <w:pPr>
        <w:numPr>
          <w:ilvl w:val="0"/>
          <w:numId w:val="99"/>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No se presentaron peligros que causaran o contribuyeran a provocar lesiones por accidente laboral con grandes consecuencias.</w:t>
      </w:r>
    </w:p>
    <w:p w14:paraId="796CC2B2" w14:textId="77777777" w:rsidR="006C5A8B" w:rsidRPr="006C5A8B" w:rsidRDefault="006C5A8B" w:rsidP="00AC1146">
      <w:pPr>
        <w:numPr>
          <w:ilvl w:val="0"/>
          <w:numId w:val="99"/>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Medidas para eliminar los peligros y minimizar los riesgos mediante la aplicación de la jerarquía de control:</w:t>
      </w:r>
    </w:p>
    <w:p w14:paraId="5C7630FB" w14:textId="77777777" w:rsidR="006C5A8B" w:rsidRPr="006C5A8B" w:rsidRDefault="006C5A8B" w:rsidP="00AC1146">
      <w:pPr>
        <w:numPr>
          <w:ilvl w:val="0"/>
          <w:numId w:val="10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Guías y procedimientos para actividades de alto riesgo.</w:t>
      </w:r>
    </w:p>
    <w:p w14:paraId="3D41F2DD" w14:textId="77777777" w:rsidR="006C5A8B" w:rsidRPr="006C5A8B" w:rsidRDefault="006C5A8B" w:rsidP="00AC1146">
      <w:pPr>
        <w:numPr>
          <w:ilvl w:val="0"/>
          <w:numId w:val="10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Habilitación del personal.</w:t>
      </w:r>
    </w:p>
    <w:p w14:paraId="260ECE6C" w14:textId="77777777" w:rsidR="006C5A8B" w:rsidRPr="006C5A8B" w:rsidRDefault="006C5A8B" w:rsidP="00AC1146">
      <w:pPr>
        <w:numPr>
          <w:ilvl w:val="0"/>
          <w:numId w:val="101"/>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Disminuir la exposición con el uso de nuevas tecnologías.</w:t>
      </w:r>
    </w:p>
    <w:p w14:paraId="2111B950" w14:textId="77777777" w:rsidR="006C5A8B" w:rsidRPr="006C5A8B" w:rsidRDefault="006C5A8B" w:rsidP="00AC1146">
      <w:pPr>
        <w:numPr>
          <w:ilvl w:val="0"/>
          <w:numId w:val="102"/>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Las medidas tomadas o proyectadas para eliminar otros peligros laborales y minimizar riesgos mediante la jerarquía de control, en casos donde los riesgos no se materializaron, incluyen:</w:t>
      </w:r>
    </w:p>
    <w:p w14:paraId="3FFEEEC1" w14:textId="77777777" w:rsidR="006C5A8B" w:rsidRPr="006C5A8B" w:rsidRDefault="006C5A8B" w:rsidP="00AC1146">
      <w:pPr>
        <w:numPr>
          <w:ilvl w:val="1"/>
          <w:numId w:val="103"/>
        </w:numPr>
        <w:shd w:val="clear" w:color="auto" w:fill="FFFFFF"/>
        <w:spacing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Desarrollo del Programa “Conectados con la vida” para mejorar el nivel de cultura de seguridad.</w:t>
      </w:r>
    </w:p>
    <w:p w14:paraId="321A40E6" w14:textId="77777777" w:rsidR="006C5A8B" w:rsidRPr="006C5A8B" w:rsidRDefault="006C5A8B" w:rsidP="00AC1146">
      <w:pPr>
        <w:numPr>
          <w:ilvl w:val="1"/>
          <w:numId w:val="103"/>
        </w:num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Mesa de trabajo interempresarial para actividades de alto riesgo.</w:t>
      </w:r>
    </w:p>
    <w:p w14:paraId="267B2C9D" w14:textId="77777777" w:rsidR="00E05B53" w:rsidRPr="00E05B53" w:rsidRDefault="00E05B53" w:rsidP="00E05B53">
      <w:pPr>
        <w:shd w:val="clear" w:color="auto" w:fill="FFFFFF"/>
        <w:spacing w:before="240" w:after="0" w:line="240" w:lineRule="auto"/>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 xml:space="preserve">Nota: </w:t>
      </w:r>
      <w:r w:rsidRPr="00E05B53">
        <w:rPr>
          <w:rFonts w:ascii="Tahoma" w:eastAsia="Tahoma" w:hAnsi="Tahoma" w:cs="Tahoma"/>
          <w:kern w:val="0"/>
          <w:lang w:val="es-ES" w:eastAsia="es-CO"/>
          <w14:ligatures w14:val="none"/>
        </w:rPr>
        <w:t>Las tasas se han calculado por cada 1,000,000 de horas trabajadas, conforme a la normativa y los procedimientos establecidos para asegurar una comparación adecuada con las métricas estándar de seguridad y salud laboral.</w:t>
      </w:r>
    </w:p>
    <w:p w14:paraId="034FB4C1"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p>
    <w:p w14:paraId="23D5F342" w14:textId="77777777" w:rsidR="006C5A8B" w:rsidRPr="006C5A8B" w:rsidRDefault="006C5A8B" w:rsidP="006C5A8B">
      <w:pPr>
        <w:shd w:val="clear" w:color="auto" w:fill="FFFFFF"/>
        <w:spacing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Dolencias y enfermedades para los empleados</w:t>
      </w:r>
    </w:p>
    <w:tbl>
      <w:tblPr>
        <w:tblW w:w="8639" w:type="dxa"/>
        <w:tblLayout w:type="fixed"/>
        <w:tblLook w:val="0400" w:firstRow="0" w:lastRow="0" w:firstColumn="0" w:lastColumn="0" w:noHBand="0" w:noVBand="1"/>
      </w:tblPr>
      <w:tblGrid>
        <w:gridCol w:w="6088"/>
        <w:gridCol w:w="850"/>
        <w:gridCol w:w="816"/>
        <w:gridCol w:w="885"/>
      </w:tblGrid>
      <w:tr w:rsidR="006C5A8B" w:rsidRPr="006C5A8B" w14:paraId="4A316071" w14:textId="77777777" w:rsidTr="00955EFE">
        <w:trPr>
          <w:trHeight w:val="555"/>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1E1E5B9"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Dolencias y enfermedades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236C446"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2022</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1471A4"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2023</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D5893F7"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23C9B8BC" w14:textId="77777777" w:rsidTr="00955EFE">
        <w:trPr>
          <w:trHeight w:val="660"/>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4DB6AD"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fallecimientos resultantes de una dolencia o enfermedad laboral</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65ECB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C3697C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5694D5D"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3E18237B" w14:textId="77777777" w:rsidTr="00955EFE">
        <w:trPr>
          <w:trHeight w:val="560"/>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CC0D6DF"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casos de dolencias y enfermedades laborales registrables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CFFE2E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FB1ADF5"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E6B869E"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1</w:t>
            </w:r>
          </w:p>
        </w:tc>
      </w:tr>
    </w:tbl>
    <w:p w14:paraId="3F15F57C" w14:textId="77777777" w:rsidR="006C5A8B" w:rsidRPr="006C5A8B" w:rsidRDefault="006C5A8B" w:rsidP="006C5A8B">
      <w:pPr>
        <w:shd w:val="clear" w:color="auto" w:fill="FFFFFF"/>
        <w:spacing w:before="240" w:after="240" w:line="240" w:lineRule="auto"/>
        <w:jc w:val="both"/>
        <w:rPr>
          <w:rFonts w:ascii="Tahoma" w:eastAsia="Tahoma" w:hAnsi="Tahoma" w:cs="Tahoma"/>
          <w:kern w:val="0"/>
          <w:lang w:val="es-ES" w:eastAsia="es-CO"/>
          <w14:ligatures w14:val="none"/>
        </w:rPr>
      </w:pPr>
      <w:r w:rsidRPr="006C5A8B">
        <w:rPr>
          <w:rFonts w:ascii="Tahoma" w:eastAsia="Tahoma" w:hAnsi="Tahoma" w:cs="Tahoma"/>
          <w:b/>
          <w:kern w:val="0"/>
          <w:lang w:val="es-ES" w:eastAsia="es-CO"/>
          <w14:ligatures w14:val="none"/>
        </w:rPr>
        <w:t>Dolencias y enfermedades para los contratistas</w:t>
      </w:r>
    </w:p>
    <w:tbl>
      <w:tblPr>
        <w:tblW w:w="8639" w:type="dxa"/>
        <w:tblLayout w:type="fixed"/>
        <w:tblLook w:val="0400" w:firstRow="0" w:lastRow="0" w:firstColumn="0" w:lastColumn="0" w:noHBand="0" w:noVBand="1"/>
      </w:tblPr>
      <w:tblGrid>
        <w:gridCol w:w="6088"/>
        <w:gridCol w:w="850"/>
        <w:gridCol w:w="816"/>
        <w:gridCol w:w="885"/>
      </w:tblGrid>
      <w:tr w:rsidR="006C5A8B" w:rsidRPr="006C5A8B" w14:paraId="39ECE699" w14:textId="77777777" w:rsidTr="00955EFE">
        <w:trPr>
          <w:trHeight w:val="555"/>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775AAE"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Dolencias y enfermedades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5DEADBD"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2022</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ABBEE0B"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2023</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6A819A7" w14:textId="77777777" w:rsidR="006C5A8B" w:rsidRPr="006C5A8B" w:rsidRDefault="006C5A8B" w:rsidP="006C5A8B">
            <w:pPr>
              <w:shd w:val="clear" w:color="auto" w:fill="FFFFFF"/>
              <w:spacing w:before="240" w:after="0" w:line="240" w:lineRule="auto"/>
              <w:jc w:val="right"/>
              <w:rPr>
                <w:rFonts w:ascii="Tahoma" w:eastAsia="Tahoma" w:hAnsi="Tahoma" w:cs="Tahoma"/>
                <w:b/>
                <w:kern w:val="0"/>
                <w:lang w:val="es-ES" w:eastAsia="es-CO"/>
                <w14:ligatures w14:val="none"/>
              </w:rPr>
            </w:pPr>
            <w:r w:rsidRPr="006C5A8B">
              <w:rPr>
                <w:rFonts w:ascii="Tahoma" w:eastAsia="Tahoma" w:hAnsi="Tahoma" w:cs="Tahoma"/>
                <w:b/>
                <w:kern w:val="0"/>
                <w:lang w:val="es-ES" w:eastAsia="es-CO"/>
                <w14:ligatures w14:val="none"/>
              </w:rPr>
              <w:t>2024</w:t>
            </w:r>
          </w:p>
        </w:tc>
      </w:tr>
      <w:tr w:rsidR="006C5A8B" w:rsidRPr="006C5A8B" w14:paraId="1AE4B3FA" w14:textId="77777777" w:rsidTr="00955EFE">
        <w:trPr>
          <w:trHeight w:val="570"/>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05747A2"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fallecimientos resultantes de una dolencia o enfermedad laboral</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F63F9B4"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6F3EC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BC8A167"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r w:rsidR="006C5A8B" w:rsidRPr="006C5A8B" w14:paraId="46243302" w14:textId="77777777" w:rsidTr="00955EFE">
        <w:trPr>
          <w:trHeight w:val="765"/>
        </w:trPr>
        <w:tc>
          <w:tcPr>
            <w:tcW w:w="608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D94334" w14:textId="77777777" w:rsidR="006C5A8B" w:rsidRPr="006C5A8B" w:rsidRDefault="006C5A8B" w:rsidP="006C5A8B">
            <w:pPr>
              <w:shd w:val="clear" w:color="auto" w:fill="FFFFFF"/>
              <w:spacing w:before="240" w:after="0" w:line="240" w:lineRule="auto"/>
              <w:jc w:val="both"/>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Número de casos de dolencias y enfermedades laborales registrables</w:t>
            </w:r>
          </w:p>
        </w:tc>
        <w:tc>
          <w:tcPr>
            <w:tcW w:w="8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3F4035F"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1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3323969"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c>
          <w:tcPr>
            <w:tcW w:w="88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8D1728B" w14:textId="77777777" w:rsidR="006C5A8B" w:rsidRPr="006C5A8B" w:rsidRDefault="006C5A8B" w:rsidP="006C5A8B">
            <w:pPr>
              <w:shd w:val="clear" w:color="auto" w:fill="FFFFFF"/>
              <w:spacing w:before="240" w:after="0" w:line="240" w:lineRule="auto"/>
              <w:jc w:val="right"/>
              <w:rPr>
                <w:rFonts w:ascii="Tahoma" w:eastAsia="Tahoma" w:hAnsi="Tahoma" w:cs="Tahoma"/>
                <w:kern w:val="0"/>
                <w:lang w:val="es-ES" w:eastAsia="es-CO"/>
                <w14:ligatures w14:val="none"/>
              </w:rPr>
            </w:pPr>
            <w:r w:rsidRPr="006C5A8B">
              <w:rPr>
                <w:rFonts w:ascii="Tahoma" w:eastAsia="Tahoma" w:hAnsi="Tahoma" w:cs="Tahoma"/>
                <w:kern w:val="0"/>
                <w:lang w:val="es-ES" w:eastAsia="es-CO"/>
                <w14:ligatures w14:val="none"/>
              </w:rPr>
              <w:t>0</w:t>
            </w:r>
          </w:p>
        </w:tc>
      </w:tr>
    </w:tbl>
    <w:p w14:paraId="1BB0E28C" w14:textId="77777777" w:rsidR="00C655C6" w:rsidRPr="008F3713" w:rsidRDefault="00C655C6" w:rsidP="008F3713">
      <w:pPr>
        <w:spacing w:after="0" w:line="240" w:lineRule="auto"/>
        <w:rPr>
          <w:rFonts w:ascii="Tahoma" w:hAnsi="Tahoma" w:cs="Tahoma"/>
          <w:color w:val="0070C0"/>
          <w:sz w:val="40"/>
          <w:szCs w:val="40"/>
        </w:rPr>
      </w:pPr>
      <w:r w:rsidRPr="008F3713">
        <w:rPr>
          <w:rFonts w:ascii="Tahoma" w:hAnsi="Tahoma" w:cs="Tahoma"/>
          <w:b/>
          <w:bCs/>
          <w:color w:val="0070C0"/>
          <w:sz w:val="40"/>
          <w:szCs w:val="40"/>
        </w:rPr>
        <w:lastRenderedPageBreak/>
        <w:t>Contribución a la transformación y al desarrollo sostenible de los territorios</w:t>
      </w:r>
    </w:p>
    <w:p w14:paraId="6BEFD1A0" w14:textId="77777777" w:rsidR="00C655C6" w:rsidRPr="008F3713" w:rsidRDefault="00C655C6" w:rsidP="008F3713">
      <w:pPr>
        <w:spacing w:after="0" w:line="240" w:lineRule="auto"/>
        <w:rPr>
          <w:rFonts w:ascii="Tahoma" w:hAnsi="Tahoma" w:cs="Tahoma"/>
          <w:color w:val="0070C0"/>
        </w:rPr>
      </w:pPr>
    </w:p>
    <w:p w14:paraId="6A49CCE0"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Dimensión: Compromiso con el desarrollo socioeconómico</w:t>
      </w:r>
    </w:p>
    <w:p w14:paraId="2C45A0FE"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ODS: </w:t>
      </w:r>
    </w:p>
    <w:p w14:paraId="063DEE2B"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noProof/>
        </w:rPr>
        <w:drawing>
          <wp:inline distT="0" distB="0" distL="0" distR="0" wp14:anchorId="0776AAED" wp14:editId="6E87EC15">
            <wp:extent cx="952500" cy="971550"/>
            <wp:effectExtent l="0" t="0" r="0" b="0"/>
            <wp:docPr id="213675169" name="Imagen 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5169" name="Imagen 6" descr="Interfaz de usuario gráfica&#10;&#10;Descripción generada automáticamente con confianza baj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00" cy="971550"/>
                    </a:xfrm>
                    <a:prstGeom prst="rect">
                      <a:avLst/>
                    </a:prstGeom>
                    <a:noFill/>
                    <a:ln>
                      <a:noFill/>
                    </a:ln>
                  </pic:spPr>
                </pic:pic>
              </a:graphicData>
            </a:graphic>
          </wp:inline>
        </w:drawing>
      </w:r>
      <w:r w:rsidRPr="008F3713">
        <w:rPr>
          <w:rFonts w:ascii="Tahoma" w:hAnsi="Tahoma" w:cs="Tahoma"/>
          <w:b/>
          <w:bCs/>
        </w:rPr>
        <w:t xml:space="preserve">  </w:t>
      </w:r>
      <w:r w:rsidRPr="008F3713">
        <w:rPr>
          <w:rFonts w:ascii="Tahoma" w:hAnsi="Tahoma" w:cs="Tahoma"/>
          <w:b/>
          <w:bCs/>
          <w:noProof/>
        </w:rPr>
        <w:drawing>
          <wp:inline distT="0" distB="0" distL="0" distR="0" wp14:anchorId="6F78E55A" wp14:editId="0C039420">
            <wp:extent cx="952500" cy="942975"/>
            <wp:effectExtent l="0" t="0" r="0" b="9525"/>
            <wp:docPr id="1107247111" name="Imagen 5"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47111" name="Imagen 5" descr="Imagen que contiene Icono&#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00" cy="942975"/>
                    </a:xfrm>
                    <a:prstGeom prst="rect">
                      <a:avLst/>
                    </a:prstGeom>
                    <a:noFill/>
                    <a:ln>
                      <a:noFill/>
                    </a:ln>
                  </pic:spPr>
                </pic:pic>
              </a:graphicData>
            </a:graphic>
          </wp:inline>
        </w:drawing>
      </w:r>
      <w:r w:rsidRPr="008F3713">
        <w:rPr>
          <w:rFonts w:ascii="Tahoma" w:hAnsi="Tahoma" w:cs="Tahoma"/>
          <w:b/>
          <w:bCs/>
        </w:rPr>
        <w:t xml:space="preserve">  </w:t>
      </w:r>
      <w:r w:rsidRPr="008F3713">
        <w:rPr>
          <w:rFonts w:ascii="Tahoma" w:hAnsi="Tahoma" w:cs="Tahoma"/>
          <w:b/>
          <w:bCs/>
          <w:noProof/>
        </w:rPr>
        <w:drawing>
          <wp:inline distT="0" distB="0" distL="0" distR="0" wp14:anchorId="00564ECB" wp14:editId="0A1979F2">
            <wp:extent cx="933450" cy="933450"/>
            <wp:effectExtent l="0" t="0" r="0" b="0"/>
            <wp:docPr id="1101166623" name="Imagen 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6623" name="Imagen 4" descr="Interfaz de usuario gráfica, Texto&#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14:paraId="10E69C73" w14:textId="77777777" w:rsidR="00C655C6" w:rsidRPr="008F3713" w:rsidRDefault="00C655C6" w:rsidP="00C655C6">
      <w:pPr>
        <w:spacing w:after="0" w:line="240" w:lineRule="auto"/>
        <w:jc w:val="both"/>
        <w:rPr>
          <w:rFonts w:ascii="Tahoma" w:hAnsi="Tahoma" w:cs="Tahoma"/>
          <w:b/>
          <w:bCs/>
        </w:rPr>
      </w:pPr>
    </w:p>
    <w:p w14:paraId="7A0C9D6C" w14:textId="77777777" w:rsidR="00C655C6" w:rsidRPr="008F3713" w:rsidRDefault="00C655C6" w:rsidP="00C655C6">
      <w:pPr>
        <w:spacing w:after="0" w:line="240" w:lineRule="auto"/>
        <w:jc w:val="both"/>
        <w:rPr>
          <w:rFonts w:ascii="Tahoma" w:hAnsi="Tahoma" w:cs="Tahoma"/>
          <w:sz w:val="32"/>
          <w:szCs w:val="32"/>
        </w:rPr>
      </w:pPr>
      <w:r w:rsidRPr="008F3713">
        <w:rPr>
          <w:rFonts w:ascii="Tahoma" w:hAnsi="Tahoma" w:cs="Tahoma"/>
          <w:b/>
          <w:bCs/>
          <w:sz w:val="32"/>
          <w:szCs w:val="32"/>
        </w:rPr>
        <w:t>Gestión del asunto material </w:t>
      </w:r>
    </w:p>
    <w:p w14:paraId="51003A89" w14:textId="77777777" w:rsidR="00C655C6" w:rsidRPr="008F3713" w:rsidRDefault="00C655C6" w:rsidP="00C655C6">
      <w:pPr>
        <w:spacing w:after="0" w:line="240" w:lineRule="auto"/>
        <w:jc w:val="both"/>
        <w:rPr>
          <w:rFonts w:ascii="Tahoma" w:hAnsi="Tahoma" w:cs="Tahoma"/>
        </w:rPr>
      </w:pPr>
    </w:p>
    <w:p w14:paraId="10D26ED1"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TRANSELCA se esfuerza por tener un impacto positivo en las comunidades y regiones donde opera. Su compromiso con el desarrollo sostenible y la mejora de la calidad de vida se manifiesta a través de la colaboración con grupos de interés que comparten objetivos comunes.</w:t>
      </w:r>
    </w:p>
    <w:p w14:paraId="73F2019E" w14:textId="77777777" w:rsidR="00C655C6" w:rsidRPr="008F3713" w:rsidRDefault="00C655C6" w:rsidP="00C655C6">
      <w:pPr>
        <w:spacing w:after="0" w:line="240" w:lineRule="auto"/>
        <w:jc w:val="both"/>
        <w:rPr>
          <w:rFonts w:ascii="Tahoma" w:hAnsi="Tahoma" w:cs="Tahoma"/>
        </w:rPr>
      </w:pPr>
    </w:p>
    <w:p w14:paraId="2635055C"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Al participar en estos procesos de desarrollo, TRANSELCA no solo aporta recursos y conocimientos, sino que también fomenta alianzas que potencian el bienestar social y económico. Este enfoque colaborativo permite identificar y abordar las necesidades más urgentes de las comunidades, generando soluciones que benefician tanto a la empresa como a la sociedad en general.</w:t>
      </w:r>
    </w:p>
    <w:p w14:paraId="5B1B50BE" w14:textId="77777777" w:rsidR="00C655C6" w:rsidRPr="008F3713" w:rsidRDefault="00C655C6" w:rsidP="00C655C6">
      <w:pPr>
        <w:spacing w:after="0" w:line="240" w:lineRule="auto"/>
        <w:jc w:val="both"/>
        <w:rPr>
          <w:rFonts w:ascii="Tahoma" w:hAnsi="Tahoma" w:cs="Tahoma"/>
        </w:rPr>
      </w:pPr>
    </w:p>
    <w:p w14:paraId="41F57D50" w14:textId="77777777" w:rsidR="00C655C6" w:rsidRPr="008F3713" w:rsidRDefault="00C655C6" w:rsidP="00C655C6">
      <w:pPr>
        <w:spacing w:after="0" w:line="240" w:lineRule="auto"/>
        <w:jc w:val="both"/>
        <w:rPr>
          <w:rFonts w:ascii="Tahoma" w:hAnsi="Tahoma" w:cs="Tahoma"/>
          <w:b/>
          <w:bCs/>
        </w:rPr>
      </w:pPr>
    </w:p>
    <w:p w14:paraId="01D53C4F"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Impactos positivos</w:t>
      </w:r>
    </w:p>
    <w:p w14:paraId="6C7758CC" w14:textId="77777777" w:rsidR="00C655C6" w:rsidRPr="008F3713" w:rsidRDefault="00C655C6" w:rsidP="00C655C6">
      <w:pPr>
        <w:spacing w:after="0" w:line="240" w:lineRule="auto"/>
        <w:jc w:val="both"/>
        <w:rPr>
          <w:rFonts w:ascii="Tahoma" w:hAnsi="Tahoma" w:cs="Tahoma"/>
          <w:b/>
          <w:bCs/>
        </w:rPr>
      </w:pPr>
    </w:p>
    <w:p w14:paraId="3996697F"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Fortalecimiento de la infraestructura comunitaria para promover el desarrollo sostenible</w:t>
      </w:r>
    </w:p>
    <w:p w14:paraId="5A5A0061" w14:textId="77777777" w:rsidR="00C655C6" w:rsidRPr="008F3713" w:rsidRDefault="00C655C6" w:rsidP="00C655C6">
      <w:pPr>
        <w:spacing w:after="0" w:line="240" w:lineRule="auto"/>
        <w:jc w:val="both"/>
        <w:rPr>
          <w:rFonts w:ascii="Tahoma" w:hAnsi="Tahoma" w:cs="Tahoma"/>
          <w:b/>
          <w:bCs/>
        </w:rPr>
      </w:pPr>
    </w:p>
    <w:p w14:paraId="49CD81DF"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Evolución:</w:t>
      </w:r>
    </w:p>
    <w:p w14:paraId="6BFC32C8" w14:textId="77777777" w:rsidR="00C655C6" w:rsidRPr="008F3713" w:rsidRDefault="00C655C6" w:rsidP="00C655C6">
      <w:pPr>
        <w:spacing w:after="0" w:line="240" w:lineRule="auto"/>
        <w:jc w:val="both"/>
        <w:rPr>
          <w:rFonts w:ascii="Tahoma" w:hAnsi="Tahoma" w:cs="Tahoma"/>
        </w:rPr>
      </w:pPr>
    </w:p>
    <w:p w14:paraId="45351CA4"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A través del diagnóstico y caracterización de los territorios priorizados por TRANSELCA, se identificaron fortalezas y brechas en las comunidades. Esto permitió trabajar de manera conjunta con líderes de las Juntas de Acción Comunal (JAC), cabildos, gobernadores y autoridades indígenas. Como resultado, se lograron mejoras significativas en la infraestructura comunitaria mediante el programa Conexión Desarrollo, especialmente en los territorios Wayuu.</w:t>
      </w:r>
    </w:p>
    <w:p w14:paraId="21988E54" w14:textId="77777777" w:rsidR="00C655C6" w:rsidRDefault="00C655C6" w:rsidP="00C655C6">
      <w:pPr>
        <w:spacing w:after="0" w:line="240" w:lineRule="auto"/>
        <w:jc w:val="both"/>
        <w:rPr>
          <w:rFonts w:ascii="Tahoma" w:hAnsi="Tahoma" w:cs="Tahoma"/>
          <w:b/>
          <w:bCs/>
        </w:rPr>
      </w:pPr>
    </w:p>
    <w:p w14:paraId="3F2EDD13" w14:textId="77777777" w:rsidR="00FC523D" w:rsidRDefault="00FC523D" w:rsidP="00C655C6">
      <w:pPr>
        <w:spacing w:after="0" w:line="240" w:lineRule="auto"/>
        <w:jc w:val="both"/>
        <w:rPr>
          <w:rFonts w:ascii="Tahoma" w:hAnsi="Tahoma" w:cs="Tahoma"/>
          <w:b/>
          <w:bCs/>
        </w:rPr>
      </w:pPr>
    </w:p>
    <w:p w14:paraId="5DB608C1" w14:textId="77777777" w:rsidR="00FC523D" w:rsidRPr="008F3713" w:rsidRDefault="00FC523D" w:rsidP="00C655C6">
      <w:pPr>
        <w:spacing w:after="0" w:line="240" w:lineRule="auto"/>
        <w:jc w:val="both"/>
        <w:rPr>
          <w:rFonts w:ascii="Tahoma" w:hAnsi="Tahoma" w:cs="Tahoma"/>
          <w:b/>
          <w:bCs/>
        </w:rPr>
      </w:pPr>
    </w:p>
    <w:p w14:paraId="749902AE"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lastRenderedPageBreak/>
        <w:t>Hitos:</w:t>
      </w:r>
    </w:p>
    <w:p w14:paraId="2D08C912" w14:textId="77777777" w:rsidR="00C655C6" w:rsidRPr="008F3713" w:rsidRDefault="00C655C6" w:rsidP="00C655C6">
      <w:pPr>
        <w:spacing w:after="0" w:line="240" w:lineRule="auto"/>
        <w:jc w:val="both"/>
        <w:rPr>
          <w:rFonts w:ascii="Tahoma" w:hAnsi="Tahoma" w:cs="Tahoma"/>
          <w:b/>
          <w:bCs/>
        </w:rPr>
      </w:pPr>
    </w:p>
    <w:p w14:paraId="451674C1"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En 2024, se intensificaron las acciones del modelo de Gestión Social “Conexión Desarrollo”, fortaleciendo las capacidades e infraestructura de los ecosistemas comunitarios en La Guajira, Cesar y Bolívar. Esto generó oportunidades de desarrollo en educación, vocaciones productivas, y mejoras en las estructuras de gobierno comunitario, al mismo tiempo que se fortalecía el relacionamiento y la confianza para viabilizar proyectos y las actividades de mantenimiento de la empresa.</w:t>
      </w:r>
    </w:p>
    <w:p w14:paraId="0989F951" w14:textId="77777777" w:rsidR="00C655C6" w:rsidRPr="008F3713" w:rsidRDefault="00C655C6" w:rsidP="00C655C6">
      <w:pPr>
        <w:spacing w:after="0" w:line="240" w:lineRule="auto"/>
        <w:jc w:val="both"/>
        <w:rPr>
          <w:rFonts w:ascii="Tahoma" w:hAnsi="Tahoma" w:cs="Tahoma"/>
          <w:b/>
          <w:bCs/>
        </w:rPr>
      </w:pPr>
    </w:p>
    <w:p w14:paraId="0D2E4CCE"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En La Guajira:</w:t>
      </w:r>
    </w:p>
    <w:p w14:paraId="44452D0A" w14:textId="77777777" w:rsidR="00C655C6" w:rsidRPr="008F3713" w:rsidRDefault="00C655C6" w:rsidP="00C655C6">
      <w:pPr>
        <w:spacing w:after="0" w:line="240" w:lineRule="auto"/>
        <w:jc w:val="both"/>
        <w:rPr>
          <w:rFonts w:ascii="Tahoma" w:hAnsi="Tahoma" w:cs="Tahoma"/>
        </w:rPr>
      </w:pPr>
    </w:p>
    <w:p w14:paraId="2CDDA6EF" w14:textId="77777777" w:rsidR="00C655C6" w:rsidRPr="008F3713" w:rsidRDefault="00C655C6" w:rsidP="00C655C6">
      <w:pPr>
        <w:pStyle w:val="Prrafodelista"/>
        <w:numPr>
          <w:ilvl w:val="0"/>
          <w:numId w:val="174"/>
        </w:numPr>
        <w:spacing w:after="0" w:line="240" w:lineRule="auto"/>
        <w:jc w:val="both"/>
        <w:rPr>
          <w:rFonts w:ascii="Tahoma" w:hAnsi="Tahoma" w:cs="Tahoma"/>
        </w:rPr>
      </w:pPr>
      <w:r w:rsidRPr="008F3713">
        <w:rPr>
          <w:rFonts w:ascii="Tahoma" w:hAnsi="Tahoma" w:cs="Tahoma"/>
        </w:rPr>
        <w:t>Construcción de 2 aulas en la Institución Educativa del Resguardo Indígena </w:t>
      </w:r>
    </w:p>
    <w:p w14:paraId="4E59F18B" w14:textId="77777777" w:rsidR="00C655C6" w:rsidRPr="008F3713" w:rsidRDefault="00C655C6" w:rsidP="00C655C6">
      <w:pPr>
        <w:spacing w:after="0" w:line="240" w:lineRule="auto"/>
        <w:jc w:val="both"/>
        <w:rPr>
          <w:rFonts w:ascii="Tahoma" w:hAnsi="Tahoma" w:cs="Tahoma"/>
          <w:b/>
          <w:bCs/>
        </w:rPr>
      </w:pPr>
    </w:p>
    <w:p w14:paraId="6B944FB7"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Rodeito El Pozo, Hatonuevo</w:t>
      </w:r>
    </w:p>
    <w:p w14:paraId="33C300BD" w14:textId="77777777" w:rsidR="00C655C6" w:rsidRPr="008F3713" w:rsidRDefault="00C655C6" w:rsidP="00C655C6">
      <w:pPr>
        <w:spacing w:after="0" w:line="240" w:lineRule="auto"/>
        <w:jc w:val="both"/>
        <w:rPr>
          <w:rFonts w:ascii="Tahoma" w:hAnsi="Tahoma" w:cs="Tahoma"/>
        </w:rPr>
      </w:pPr>
    </w:p>
    <w:p w14:paraId="5B0023CE" w14:textId="77777777" w:rsidR="00C655C6" w:rsidRPr="008F3713" w:rsidRDefault="00C655C6" w:rsidP="00C655C6">
      <w:pPr>
        <w:pStyle w:val="Prrafodelista"/>
        <w:numPr>
          <w:ilvl w:val="0"/>
          <w:numId w:val="174"/>
        </w:numPr>
        <w:spacing w:after="0" w:line="240" w:lineRule="auto"/>
        <w:jc w:val="both"/>
        <w:rPr>
          <w:rFonts w:ascii="Tahoma" w:hAnsi="Tahoma" w:cs="Tahoma"/>
        </w:rPr>
      </w:pPr>
      <w:r w:rsidRPr="008F3713">
        <w:rPr>
          <w:rFonts w:ascii="Tahoma" w:hAnsi="Tahoma" w:cs="Tahoma"/>
        </w:rPr>
        <w:t>Mejoramiento de la Enramada Comunitaria del Resguardo Cerrodeo, </w:t>
      </w:r>
    </w:p>
    <w:p w14:paraId="2F6A8B2D" w14:textId="77777777" w:rsidR="00C655C6" w:rsidRPr="008F3713" w:rsidRDefault="00C655C6" w:rsidP="00C655C6">
      <w:pPr>
        <w:spacing w:after="0" w:line="240" w:lineRule="auto"/>
        <w:jc w:val="both"/>
        <w:rPr>
          <w:rFonts w:ascii="Tahoma" w:hAnsi="Tahoma" w:cs="Tahoma"/>
          <w:b/>
          <w:bCs/>
        </w:rPr>
      </w:pPr>
    </w:p>
    <w:p w14:paraId="256A020F"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Barrancas</w:t>
      </w:r>
    </w:p>
    <w:p w14:paraId="6EDDC294" w14:textId="77777777" w:rsidR="00C655C6" w:rsidRPr="008F3713" w:rsidRDefault="00C655C6" w:rsidP="00C655C6">
      <w:pPr>
        <w:spacing w:after="0" w:line="240" w:lineRule="auto"/>
        <w:jc w:val="both"/>
        <w:rPr>
          <w:rFonts w:ascii="Tahoma" w:hAnsi="Tahoma" w:cs="Tahoma"/>
        </w:rPr>
      </w:pPr>
    </w:p>
    <w:p w14:paraId="4C7E8C65" w14:textId="77777777" w:rsidR="00C655C6" w:rsidRPr="008F3713" w:rsidRDefault="00C655C6" w:rsidP="00C655C6">
      <w:pPr>
        <w:pStyle w:val="Prrafodelista"/>
        <w:numPr>
          <w:ilvl w:val="0"/>
          <w:numId w:val="174"/>
        </w:numPr>
        <w:spacing w:after="0" w:line="240" w:lineRule="auto"/>
        <w:jc w:val="both"/>
        <w:rPr>
          <w:rFonts w:ascii="Tahoma" w:hAnsi="Tahoma" w:cs="Tahoma"/>
        </w:rPr>
      </w:pPr>
      <w:r w:rsidRPr="008F3713">
        <w:rPr>
          <w:rFonts w:ascii="Tahoma" w:hAnsi="Tahoma" w:cs="Tahoma"/>
        </w:rPr>
        <w:t>Apoyo a la construcción de la Enramada Cementerios de la comunidad </w:t>
      </w:r>
    </w:p>
    <w:p w14:paraId="2DDCD66F"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Lomamato, Hatonuevo. </w:t>
      </w:r>
    </w:p>
    <w:p w14:paraId="0C1B2EB4" w14:textId="77777777" w:rsidR="00C655C6" w:rsidRPr="008F3713" w:rsidRDefault="00C655C6" w:rsidP="00C655C6">
      <w:pPr>
        <w:spacing w:after="0" w:line="240" w:lineRule="auto"/>
        <w:jc w:val="both"/>
        <w:rPr>
          <w:rFonts w:ascii="Tahoma" w:hAnsi="Tahoma" w:cs="Tahoma"/>
          <w:b/>
          <w:bCs/>
        </w:rPr>
      </w:pPr>
    </w:p>
    <w:p w14:paraId="09DB62B8"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Cesar – Valledupar</w:t>
      </w:r>
    </w:p>
    <w:p w14:paraId="4066F094" w14:textId="77777777" w:rsidR="00C655C6" w:rsidRPr="008F3713" w:rsidRDefault="00C655C6" w:rsidP="00C655C6">
      <w:pPr>
        <w:spacing w:after="0" w:line="240" w:lineRule="auto"/>
        <w:jc w:val="both"/>
        <w:rPr>
          <w:rFonts w:ascii="Tahoma" w:hAnsi="Tahoma" w:cs="Tahoma"/>
        </w:rPr>
      </w:pPr>
    </w:p>
    <w:p w14:paraId="48283F66" w14:textId="77777777" w:rsidR="00C655C6" w:rsidRPr="008F3713" w:rsidRDefault="00C655C6" w:rsidP="00C655C6">
      <w:pPr>
        <w:pStyle w:val="Prrafodelista"/>
        <w:numPr>
          <w:ilvl w:val="0"/>
          <w:numId w:val="175"/>
        </w:numPr>
        <w:spacing w:after="0" w:line="240" w:lineRule="auto"/>
        <w:jc w:val="both"/>
        <w:rPr>
          <w:rFonts w:ascii="Tahoma" w:hAnsi="Tahoma" w:cs="Tahoma"/>
        </w:rPr>
      </w:pPr>
      <w:r w:rsidRPr="008F3713">
        <w:rPr>
          <w:rFonts w:ascii="Tahoma" w:hAnsi="Tahoma" w:cs="Tahoma"/>
        </w:rPr>
        <w:t>Construcción del Parque Villa Maruamake </w:t>
      </w:r>
    </w:p>
    <w:p w14:paraId="4B14F988" w14:textId="77777777" w:rsidR="00C655C6" w:rsidRPr="008F3713" w:rsidRDefault="00C655C6" w:rsidP="00C655C6">
      <w:pPr>
        <w:pStyle w:val="Prrafodelista"/>
        <w:numPr>
          <w:ilvl w:val="0"/>
          <w:numId w:val="175"/>
        </w:numPr>
        <w:spacing w:after="0" w:line="240" w:lineRule="auto"/>
        <w:jc w:val="both"/>
        <w:rPr>
          <w:rFonts w:ascii="Tahoma" w:hAnsi="Tahoma" w:cs="Tahoma"/>
        </w:rPr>
      </w:pPr>
      <w:r w:rsidRPr="008F3713">
        <w:rPr>
          <w:rFonts w:ascii="Tahoma" w:hAnsi="Tahoma" w:cs="Tahoma"/>
        </w:rPr>
        <w:t>Creación de murales artísticos  </w:t>
      </w:r>
    </w:p>
    <w:p w14:paraId="7EB5A933" w14:textId="77777777" w:rsidR="00C655C6" w:rsidRPr="008F3713" w:rsidRDefault="00C655C6" w:rsidP="00C655C6">
      <w:pPr>
        <w:tabs>
          <w:tab w:val="num" w:pos="720"/>
        </w:tabs>
        <w:spacing w:after="0" w:line="240" w:lineRule="auto"/>
        <w:jc w:val="both"/>
        <w:rPr>
          <w:rFonts w:ascii="Tahoma" w:hAnsi="Tahoma" w:cs="Tahoma"/>
          <w:b/>
          <w:bCs/>
        </w:rPr>
      </w:pPr>
    </w:p>
    <w:p w14:paraId="1A28FEB8" w14:textId="77777777" w:rsidR="00C655C6" w:rsidRPr="008F3713" w:rsidRDefault="00C655C6" w:rsidP="00C655C6">
      <w:pPr>
        <w:tabs>
          <w:tab w:val="num" w:pos="720"/>
        </w:tabs>
        <w:spacing w:after="0" w:line="240" w:lineRule="auto"/>
        <w:jc w:val="both"/>
        <w:rPr>
          <w:rFonts w:ascii="Tahoma" w:hAnsi="Tahoma" w:cs="Tahoma"/>
          <w:b/>
          <w:bCs/>
        </w:rPr>
      </w:pPr>
    </w:p>
    <w:p w14:paraId="31C08F9E" w14:textId="77777777" w:rsidR="00C655C6" w:rsidRPr="008F3713" w:rsidRDefault="00C655C6" w:rsidP="00C655C6">
      <w:pPr>
        <w:tabs>
          <w:tab w:val="num" w:pos="720"/>
        </w:tabs>
        <w:spacing w:after="0" w:line="240" w:lineRule="auto"/>
        <w:jc w:val="both"/>
        <w:rPr>
          <w:rFonts w:ascii="Tahoma" w:hAnsi="Tahoma" w:cs="Tahoma"/>
        </w:rPr>
      </w:pPr>
      <w:r w:rsidRPr="008F3713">
        <w:rPr>
          <w:rFonts w:ascii="Tahoma" w:hAnsi="Tahoma" w:cs="Tahoma"/>
          <w:b/>
          <w:bCs/>
        </w:rPr>
        <w:t>Contribución a la Transición energética a través de la instalación de energía solar fotovoltaica</w:t>
      </w:r>
      <w:r w:rsidRPr="008F3713">
        <w:rPr>
          <w:rFonts w:ascii="Tahoma" w:hAnsi="Tahoma" w:cs="Tahoma"/>
        </w:rPr>
        <w:t>.</w:t>
      </w:r>
    </w:p>
    <w:p w14:paraId="435271C5" w14:textId="77777777" w:rsidR="00C655C6" w:rsidRPr="008F3713" w:rsidRDefault="00C655C6" w:rsidP="00C655C6">
      <w:pPr>
        <w:spacing w:after="0" w:line="240" w:lineRule="auto"/>
        <w:jc w:val="both"/>
        <w:rPr>
          <w:rFonts w:ascii="Tahoma" w:hAnsi="Tahoma" w:cs="Tahoma"/>
          <w:b/>
          <w:bCs/>
        </w:rPr>
      </w:pPr>
    </w:p>
    <w:p w14:paraId="4CE37672"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Evolución:</w:t>
      </w:r>
    </w:p>
    <w:p w14:paraId="4D43D21F" w14:textId="77777777" w:rsidR="00C655C6" w:rsidRPr="008F3713" w:rsidRDefault="00C655C6" w:rsidP="00C655C6">
      <w:pPr>
        <w:spacing w:after="0" w:line="240" w:lineRule="auto"/>
        <w:jc w:val="both"/>
        <w:rPr>
          <w:rFonts w:ascii="Tahoma" w:hAnsi="Tahoma" w:cs="Tahoma"/>
        </w:rPr>
      </w:pPr>
    </w:p>
    <w:p w14:paraId="3DE0DFE1"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Entre 2023 y 2024 ISA y sus empresas implementó un proyecto de energía solar fotovoltaica que mejoró el acceso a servicios básicos como iluminación, refrigeración y tecnologías de información para 58 parcelas y 209 personas.</w:t>
      </w:r>
    </w:p>
    <w:p w14:paraId="76F994CD" w14:textId="77777777" w:rsidR="00C655C6" w:rsidRPr="008F3713" w:rsidRDefault="00C655C6" w:rsidP="00C655C6">
      <w:pPr>
        <w:spacing w:after="0" w:line="240" w:lineRule="auto"/>
        <w:jc w:val="both"/>
        <w:rPr>
          <w:rFonts w:ascii="Tahoma" w:hAnsi="Tahoma" w:cs="Tahoma"/>
        </w:rPr>
      </w:pPr>
    </w:p>
    <w:p w14:paraId="5FCE630C"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Hitos:</w:t>
      </w:r>
    </w:p>
    <w:p w14:paraId="0BBAB6D4" w14:textId="77777777" w:rsidR="00C655C6" w:rsidRPr="008F3713" w:rsidRDefault="00C655C6" w:rsidP="00C655C6">
      <w:pPr>
        <w:spacing w:after="0" w:line="240" w:lineRule="auto"/>
        <w:jc w:val="both"/>
        <w:rPr>
          <w:rFonts w:ascii="Tahoma" w:hAnsi="Tahoma" w:cs="Tahoma"/>
        </w:rPr>
      </w:pPr>
    </w:p>
    <w:p w14:paraId="150492F9" w14:textId="77777777" w:rsidR="00C655C6" w:rsidRPr="008F3713" w:rsidRDefault="00C655C6" w:rsidP="00C655C6">
      <w:pPr>
        <w:numPr>
          <w:ilvl w:val="0"/>
          <w:numId w:val="168"/>
        </w:numPr>
        <w:spacing w:after="0" w:line="240" w:lineRule="auto"/>
        <w:jc w:val="both"/>
        <w:rPr>
          <w:rFonts w:ascii="Tahoma" w:hAnsi="Tahoma" w:cs="Tahoma"/>
        </w:rPr>
      </w:pPr>
      <w:r w:rsidRPr="008F3713">
        <w:rPr>
          <w:rFonts w:ascii="Tahoma" w:hAnsi="Tahoma" w:cs="Tahoma"/>
        </w:rPr>
        <w:t>Instalación y operación del primer proyecto de energización rural en la vereda La Victoria, municipio El Copey, Cesar.</w:t>
      </w:r>
    </w:p>
    <w:p w14:paraId="6B871785" w14:textId="77777777" w:rsidR="00C655C6" w:rsidRPr="008F3713" w:rsidRDefault="00C655C6" w:rsidP="00C655C6">
      <w:pPr>
        <w:numPr>
          <w:ilvl w:val="0"/>
          <w:numId w:val="168"/>
        </w:numPr>
        <w:spacing w:after="0" w:line="240" w:lineRule="auto"/>
        <w:jc w:val="both"/>
        <w:rPr>
          <w:rFonts w:ascii="Tahoma" w:hAnsi="Tahoma" w:cs="Tahoma"/>
        </w:rPr>
      </w:pPr>
      <w:r w:rsidRPr="008F3713">
        <w:rPr>
          <w:rFonts w:ascii="Tahoma" w:hAnsi="Tahoma" w:cs="Tahoma"/>
        </w:rPr>
        <w:t>Desarrollo territorial asociado al acceso a energía y generación de condiciones de sostenibilidad.</w:t>
      </w:r>
    </w:p>
    <w:p w14:paraId="389E4AF1" w14:textId="77777777" w:rsidR="00C655C6" w:rsidRPr="008F3713" w:rsidRDefault="00C655C6" w:rsidP="00C655C6">
      <w:pPr>
        <w:spacing w:after="0" w:line="240" w:lineRule="auto"/>
        <w:jc w:val="both"/>
        <w:rPr>
          <w:rFonts w:ascii="Tahoma" w:hAnsi="Tahoma" w:cs="Tahoma"/>
          <w:b/>
          <w:bCs/>
        </w:rPr>
      </w:pPr>
    </w:p>
    <w:p w14:paraId="2BADE2AF"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Impulso al emprendimiento y productividad comunitaria</w:t>
      </w:r>
    </w:p>
    <w:p w14:paraId="48DE12F7" w14:textId="77777777" w:rsidR="00C655C6" w:rsidRPr="008F3713" w:rsidRDefault="00C655C6" w:rsidP="00C655C6">
      <w:pPr>
        <w:spacing w:after="0" w:line="240" w:lineRule="auto"/>
        <w:jc w:val="both"/>
        <w:rPr>
          <w:rFonts w:ascii="Tahoma" w:hAnsi="Tahoma" w:cs="Tahoma"/>
          <w:b/>
          <w:bCs/>
        </w:rPr>
      </w:pPr>
    </w:p>
    <w:p w14:paraId="0A8A5AD6"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Evolución:</w:t>
      </w:r>
    </w:p>
    <w:p w14:paraId="78CB73B1" w14:textId="77777777" w:rsidR="00C655C6" w:rsidRPr="008F3713" w:rsidRDefault="00C655C6" w:rsidP="00C655C6">
      <w:pPr>
        <w:spacing w:after="0" w:line="240" w:lineRule="auto"/>
        <w:jc w:val="both"/>
        <w:rPr>
          <w:rFonts w:ascii="Tahoma" w:hAnsi="Tahoma" w:cs="Tahoma"/>
        </w:rPr>
      </w:pPr>
    </w:p>
    <w:p w14:paraId="30225718"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En 2024, TRANSELCA amplió la cobertura de sus acciones de capacitación, fortaleciendo capacidades locales en los territorios priorizados.</w:t>
      </w:r>
    </w:p>
    <w:p w14:paraId="30740F0F" w14:textId="77777777" w:rsidR="00C655C6" w:rsidRPr="008F3713" w:rsidRDefault="00C655C6" w:rsidP="00C655C6">
      <w:pPr>
        <w:spacing w:after="0" w:line="240" w:lineRule="auto"/>
        <w:jc w:val="both"/>
        <w:rPr>
          <w:rFonts w:ascii="Tahoma" w:hAnsi="Tahoma" w:cs="Tahoma"/>
          <w:b/>
          <w:bCs/>
        </w:rPr>
      </w:pPr>
    </w:p>
    <w:p w14:paraId="6F727608"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Hitos:</w:t>
      </w:r>
    </w:p>
    <w:p w14:paraId="15270AF8" w14:textId="77777777" w:rsidR="00C655C6" w:rsidRPr="008F3713" w:rsidRDefault="00C655C6" w:rsidP="00C655C6">
      <w:pPr>
        <w:spacing w:after="0" w:line="240" w:lineRule="auto"/>
        <w:jc w:val="both"/>
        <w:rPr>
          <w:rFonts w:ascii="Tahoma" w:hAnsi="Tahoma" w:cs="Tahoma"/>
          <w:b/>
          <w:bCs/>
        </w:rPr>
      </w:pPr>
    </w:p>
    <w:p w14:paraId="15DC7B87"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La Guajira:</w:t>
      </w:r>
    </w:p>
    <w:p w14:paraId="467B9CB2" w14:textId="77777777" w:rsidR="00C655C6" w:rsidRPr="008F3713" w:rsidRDefault="00C655C6" w:rsidP="00C655C6">
      <w:pPr>
        <w:spacing w:after="0" w:line="240" w:lineRule="auto"/>
        <w:jc w:val="both"/>
        <w:rPr>
          <w:rFonts w:ascii="Tahoma" w:hAnsi="Tahoma" w:cs="Tahoma"/>
        </w:rPr>
      </w:pPr>
    </w:p>
    <w:p w14:paraId="0F372A6A" w14:textId="77777777" w:rsidR="00C655C6" w:rsidRPr="008F3713" w:rsidRDefault="00C655C6" w:rsidP="00C655C6">
      <w:pPr>
        <w:pStyle w:val="Prrafodelista"/>
        <w:numPr>
          <w:ilvl w:val="0"/>
          <w:numId w:val="176"/>
        </w:numPr>
        <w:spacing w:after="0" w:line="240" w:lineRule="auto"/>
        <w:jc w:val="both"/>
        <w:rPr>
          <w:rFonts w:ascii="Tahoma" w:hAnsi="Tahoma" w:cs="Tahoma"/>
        </w:rPr>
      </w:pPr>
      <w:r w:rsidRPr="008F3713">
        <w:rPr>
          <w:rFonts w:ascii="Tahoma" w:hAnsi="Tahoma" w:cs="Tahoma"/>
        </w:rPr>
        <w:t>Validación de bachillerato en el Resguardo Cerrodeo, Barrancas.</w:t>
      </w:r>
    </w:p>
    <w:p w14:paraId="5262DE80" w14:textId="77777777" w:rsidR="00C655C6" w:rsidRPr="008F3713" w:rsidRDefault="00C655C6" w:rsidP="00C655C6">
      <w:pPr>
        <w:pStyle w:val="Prrafodelista"/>
        <w:numPr>
          <w:ilvl w:val="0"/>
          <w:numId w:val="176"/>
        </w:numPr>
        <w:spacing w:after="0" w:line="240" w:lineRule="auto"/>
        <w:jc w:val="both"/>
        <w:rPr>
          <w:rFonts w:ascii="Tahoma" w:hAnsi="Tahoma" w:cs="Tahoma"/>
        </w:rPr>
      </w:pPr>
      <w:r w:rsidRPr="008F3713">
        <w:rPr>
          <w:rFonts w:ascii="Tahoma" w:hAnsi="Tahoma" w:cs="Tahoma"/>
        </w:rPr>
        <w:t>Procesos de gobierno propio en 6 resguardos indígenas.</w:t>
      </w:r>
    </w:p>
    <w:p w14:paraId="35FEC4F8" w14:textId="77777777" w:rsidR="00C655C6" w:rsidRPr="008F3713" w:rsidRDefault="00C655C6" w:rsidP="00C655C6">
      <w:pPr>
        <w:pStyle w:val="Prrafodelista"/>
        <w:numPr>
          <w:ilvl w:val="0"/>
          <w:numId w:val="176"/>
        </w:numPr>
        <w:spacing w:after="0" w:line="240" w:lineRule="auto"/>
        <w:jc w:val="both"/>
        <w:rPr>
          <w:rFonts w:ascii="Tahoma" w:hAnsi="Tahoma" w:cs="Tahoma"/>
        </w:rPr>
      </w:pPr>
      <w:r w:rsidRPr="008F3713">
        <w:rPr>
          <w:rFonts w:ascii="Tahoma" w:hAnsi="Tahoma" w:cs="Tahoma"/>
        </w:rPr>
        <w:t>Formación técnica en alianza con el SENA.</w:t>
      </w:r>
    </w:p>
    <w:p w14:paraId="09D72A39" w14:textId="77777777" w:rsidR="00C655C6" w:rsidRPr="008F3713" w:rsidRDefault="00C655C6" w:rsidP="00C655C6">
      <w:pPr>
        <w:spacing w:after="0" w:line="240" w:lineRule="auto"/>
        <w:jc w:val="both"/>
        <w:rPr>
          <w:rFonts w:ascii="Tahoma" w:hAnsi="Tahoma" w:cs="Tahoma"/>
          <w:b/>
          <w:bCs/>
        </w:rPr>
      </w:pPr>
    </w:p>
    <w:p w14:paraId="1E7B952A"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Cartagena </w:t>
      </w:r>
    </w:p>
    <w:p w14:paraId="0616388A" w14:textId="77777777" w:rsidR="00C655C6" w:rsidRPr="008F3713" w:rsidRDefault="00C655C6" w:rsidP="00C655C6">
      <w:pPr>
        <w:spacing w:after="0" w:line="240" w:lineRule="auto"/>
        <w:jc w:val="both"/>
        <w:rPr>
          <w:rFonts w:ascii="Tahoma" w:hAnsi="Tahoma" w:cs="Tahoma"/>
        </w:rPr>
      </w:pPr>
    </w:p>
    <w:p w14:paraId="1D83B62A" w14:textId="77777777" w:rsidR="00C655C6" w:rsidRPr="008F3713" w:rsidRDefault="00C655C6" w:rsidP="00C655C6">
      <w:pPr>
        <w:pStyle w:val="Prrafodelista"/>
        <w:numPr>
          <w:ilvl w:val="0"/>
          <w:numId w:val="177"/>
        </w:numPr>
        <w:spacing w:after="0" w:line="240" w:lineRule="auto"/>
        <w:jc w:val="both"/>
        <w:rPr>
          <w:rFonts w:ascii="Tahoma" w:hAnsi="Tahoma" w:cs="Tahoma"/>
        </w:rPr>
      </w:pPr>
      <w:r w:rsidRPr="008F3713">
        <w:rPr>
          <w:rFonts w:ascii="Tahoma" w:hAnsi="Tahoma" w:cs="Tahoma"/>
        </w:rPr>
        <w:t>Creación de tres unidades de negocio en Villa Corelca: Mujeres de Metal, Limpia MAS y Transformación ALS.</w:t>
      </w:r>
    </w:p>
    <w:p w14:paraId="60F02D4B" w14:textId="77777777" w:rsidR="00C655C6" w:rsidRPr="008F3713" w:rsidRDefault="00C655C6" w:rsidP="00C655C6">
      <w:pPr>
        <w:spacing w:after="0" w:line="240" w:lineRule="auto"/>
        <w:jc w:val="both"/>
        <w:rPr>
          <w:rFonts w:ascii="Tahoma" w:hAnsi="Tahoma" w:cs="Tahoma"/>
          <w:b/>
          <w:bCs/>
        </w:rPr>
      </w:pPr>
    </w:p>
    <w:p w14:paraId="79066D62"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Riesgos de impactos negativos</w:t>
      </w:r>
    </w:p>
    <w:p w14:paraId="069F5253" w14:textId="77777777" w:rsidR="00C655C6" w:rsidRPr="008F3713" w:rsidRDefault="00C655C6" w:rsidP="00C655C6">
      <w:pPr>
        <w:spacing w:after="0" w:line="240" w:lineRule="auto"/>
        <w:jc w:val="both"/>
        <w:rPr>
          <w:rFonts w:ascii="Tahoma" w:hAnsi="Tahoma" w:cs="Tahoma"/>
        </w:rPr>
      </w:pPr>
    </w:p>
    <w:p w14:paraId="2925E83C"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Nota:</w:t>
      </w:r>
      <w:r w:rsidRPr="008F3713">
        <w:rPr>
          <w:rFonts w:ascii="Tahoma" w:hAnsi="Tahoma" w:cs="Tahoma"/>
        </w:rPr>
        <w:t xml:space="preserve"> Durante el año 2024 con la gestión realizada no se presentaron impactos </w:t>
      </w:r>
    </w:p>
    <w:p w14:paraId="2E4B1479"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negativos por parte de TRANSELCA.</w:t>
      </w:r>
    </w:p>
    <w:p w14:paraId="115D3529" w14:textId="77777777" w:rsidR="00C655C6" w:rsidRPr="008F3713" w:rsidRDefault="00C655C6" w:rsidP="00C655C6">
      <w:pPr>
        <w:spacing w:after="0" w:line="240" w:lineRule="auto"/>
        <w:jc w:val="both"/>
        <w:rPr>
          <w:rFonts w:ascii="Tahoma" w:hAnsi="Tahoma" w:cs="Tahoma"/>
        </w:rPr>
      </w:pPr>
    </w:p>
    <w:p w14:paraId="3FCD1925" w14:textId="77777777" w:rsidR="00C655C6" w:rsidRPr="008F3713" w:rsidRDefault="00C655C6" w:rsidP="00C655C6">
      <w:pPr>
        <w:spacing w:after="0" w:line="240" w:lineRule="auto"/>
        <w:jc w:val="both"/>
        <w:rPr>
          <w:rFonts w:ascii="Tahoma" w:hAnsi="Tahoma" w:cs="Tahoma"/>
          <w:b/>
          <w:bCs/>
          <w:sz w:val="32"/>
          <w:szCs w:val="32"/>
        </w:rPr>
      </w:pPr>
      <w:r w:rsidRPr="008F3713">
        <w:rPr>
          <w:rFonts w:ascii="Tahoma" w:hAnsi="Tahoma" w:cs="Tahoma"/>
          <w:b/>
          <w:bCs/>
          <w:sz w:val="32"/>
          <w:szCs w:val="32"/>
        </w:rPr>
        <w:t>Riesgos:</w:t>
      </w:r>
    </w:p>
    <w:p w14:paraId="3A4A8392" w14:textId="77777777" w:rsidR="00C655C6" w:rsidRPr="008F3713" w:rsidRDefault="00C655C6" w:rsidP="00C655C6">
      <w:pPr>
        <w:spacing w:after="0" w:line="240" w:lineRule="auto"/>
        <w:jc w:val="both"/>
        <w:rPr>
          <w:rFonts w:ascii="Tahoma" w:hAnsi="Tahoma" w:cs="Tahoma"/>
          <w:b/>
          <w:bCs/>
        </w:rPr>
      </w:pPr>
    </w:p>
    <w:p w14:paraId="57A65DCA" w14:textId="77777777" w:rsidR="00C655C6" w:rsidRPr="008F3713" w:rsidRDefault="00C655C6" w:rsidP="00C655C6">
      <w:pPr>
        <w:pStyle w:val="Prrafodelista"/>
        <w:numPr>
          <w:ilvl w:val="0"/>
          <w:numId w:val="182"/>
        </w:numPr>
        <w:spacing w:after="0" w:line="240" w:lineRule="auto"/>
        <w:jc w:val="both"/>
        <w:rPr>
          <w:rFonts w:ascii="Tahoma" w:hAnsi="Tahoma" w:cs="Tahoma"/>
          <w:b/>
          <w:bCs/>
        </w:rPr>
      </w:pPr>
      <w:r w:rsidRPr="008F3713">
        <w:rPr>
          <w:rFonts w:ascii="Tahoma" w:hAnsi="Tahoma" w:cs="Tahoma"/>
          <w:b/>
          <w:bCs/>
        </w:rPr>
        <w:t>Restricciones operativas y de mantenimiento</w:t>
      </w:r>
    </w:p>
    <w:p w14:paraId="246901D9" w14:textId="77777777" w:rsidR="00C655C6" w:rsidRPr="008F3713" w:rsidRDefault="00C655C6" w:rsidP="00C655C6">
      <w:pPr>
        <w:spacing w:after="0" w:line="240" w:lineRule="auto"/>
        <w:jc w:val="both"/>
        <w:rPr>
          <w:rFonts w:ascii="Tahoma" w:hAnsi="Tahoma" w:cs="Tahoma"/>
          <w:b/>
          <w:bCs/>
        </w:rPr>
      </w:pPr>
    </w:p>
    <w:p w14:paraId="6B78B826"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Evolución:</w:t>
      </w:r>
    </w:p>
    <w:p w14:paraId="113D6D3D" w14:textId="77777777" w:rsidR="00C655C6" w:rsidRPr="008F3713" w:rsidRDefault="00C655C6" w:rsidP="00C655C6">
      <w:pPr>
        <w:spacing w:after="0" w:line="240" w:lineRule="auto"/>
        <w:jc w:val="both"/>
        <w:rPr>
          <w:rFonts w:ascii="Tahoma" w:hAnsi="Tahoma" w:cs="Tahoma"/>
        </w:rPr>
      </w:pPr>
    </w:p>
    <w:p w14:paraId="7C947222"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Se reforzó el relacionamiento comunitario mediante programas sociales.</w:t>
      </w:r>
    </w:p>
    <w:p w14:paraId="65EB6C4C" w14:textId="77777777" w:rsidR="00C655C6" w:rsidRPr="008F3713" w:rsidRDefault="00C655C6" w:rsidP="00C655C6">
      <w:pPr>
        <w:spacing w:after="0" w:line="240" w:lineRule="auto"/>
        <w:jc w:val="both"/>
        <w:rPr>
          <w:rFonts w:ascii="Tahoma" w:hAnsi="Tahoma" w:cs="Tahoma"/>
          <w:b/>
          <w:bCs/>
        </w:rPr>
      </w:pPr>
    </w:p>
    <w:p w14:paraId="13A699D2"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Hitos:</w:t>
      </w:r>
    </w:p>
    <w:p w14:paraId="7967CA94" w14:textId="77777777" w:rsidR="00C655C6" w:rsidRPr="008F3713" w:rsidRDefault="00C655C6" w:rsidP="00C655C6">
      <w:pPr>
        <w:spacing w:after="0" w:line="240" w:lineRule="auto"/>
        <w:jc w:val="both"/>
        <w:rPr>
          <w:rFonts w:ascii="Tahoma" w:hAnsi="Tahoma" w:cs="Tahoma"/>
        </w:rPr>
      </w:pPr>
    </w:p>
    <w:p w14:paraId="1DD37FF0"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Implementación de los programas: Conexión Desarrollo, Gestión Social Valledupar, entre otros.</w:t>
      </w:r>
    </w:p>
    <w:p w14:paraId="55DFCA84" w14:textId="77777777" w:rsidR="00C655C6" w:rsidRPr="008F3713" w:rsidRDefault="00C655C6" w:rsidP="00C655C6">
      <w:pPr>
        <w:spacing w:after="0" w:line="240" w:lineRule="auto"/>
        <w:jc w:val="both"/>
        <w:rPr>
          <w:rFonts w:ascii="Tahoma" w:hAnsi="Tahoma" w:cs="Tahoma"/>
          <w:b/>
          <w:bCs/>
        </w:rPr>
      </w:pPr>
    </w:p>
    <w:p w14:paraId="056909DE"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Anticipación:</w:t>
      </w:r>
    </w:p>
    <w:p w14:paraId="29AC29F2" w14:textId="77777777" w:rsidR="00C655C6" w:rsidRPr="008F3713" w:rsidRDefault="00C655C6" w:rsidP="00C655C6">
      <w:pPr>
        <w:spacing w:after="0" w:line="240" w:lineRule="auto"/>
        <w:jc w:val="both"/>
        <w:rPr>
          <w:rFonts w:ascii="Tahoma" w:hAnsi="Tahoma" w:cs="Tahoma"/>
        </w:rPr>
      </w:pPr>
    </w:p>
    <w:p w14:paraId="4CD1E767"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Estrategias de relacionamiento anticipado ejecutadas dentro de la compañía.</w:t>
      </w:r>
    </w:p>
    <w:p w14:paraId="2BA746FE" w14:textId="77777777" w:rsidR="00C655C6" w:rsidRPr="008F3713" w:rsidRDefault="00C655C6" w:rsidP="00C655C6">
      <w:pPr>
        <w:spacing w:after="0" w:line="240" w:lineRule="auto"/>
        <w:jc w:val="both"/>
        <w:rPr>
          <w:rFonts w:ascii="Tahoma" w:hAnsi="Tahoma" w:cs="Tahoma"/>
        </w:rPr>
      </w:pPr>
    </w:p>
    <w:p w14:paraId="4B5B3951" w14:textId="77777777" w:rsidR="00C655C6" w:rsidRPr="008F3713" w:rsidRDefault="00C655C6" w:rsidP="00C655C6">
      <w:pPr>
        <w:pStyle w:val="Prrafodelista"/>
        <w:numPr>
          <w:ilvl w:val="0"/>
          <w:numId w:val="182"/>
        </w:numPr>
        <w:spacing w:after="0" w:line="240" w:lineRule="auto"/>
        <w:jc w:val="both"/>
        <w:rPr>
          <w:rFonts w:ascii="Tahoma" w:hAnsi="Tahoma" w:cs="Tahoma"/>
          <w:b/>
          <w:bCs/>
        </w:rPr>
      </w:pPr>
      <w:r w:rsidRPr="008F3713">
        <w:rPr>
          <w:rFonts w:ascii="Tahoma" w:hAnsi="Tahoma" w:cs="Tahoma"/>
          <w:b/>
          <w:bCs/>
        </w:rPr>
        <w:t>Conflictos sociales y ambientales</w:t>
      </w:r>
    </w:p>
    <w:p w14:paraId="05B2B75D" w14:textId="77777777" w:rsidR="00C655C6" w:rsidRPr="008F3713" w:rsidRDefault="00C655C6" w:rsidP="00C655C6">
      <w:pPr>
        <w:spacing w:after="0" w:line="240" w:lineRule="auto"/>
        <w:jc w:val="both"/>
        <w:rPr>
          <w:rFonts w:ascii="Tahoma" w:hAnsi="Tahoma" w:cs="Tahoma"/>
          <w:b/>
          <w:bCs/>
        </w:rPr>
      </w:pPr>
    </w:p>
    <w:p w14:paraId="34312395"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Evolución:</w:t>
      </w:r>
    </w:p>
    <w:p w14:paraId="5C2ED8D4" w14:textId="77777777" w:rsidR="00C655C6" w:rsidRPr="008F3713" w:rsidRDefault="00C655C6" w:rsidP="00C655C6">
      <w:pPr>
        <w:spacing w:after="0" w:line="240" w:lineRule="auto"/>
        <w:jc w:val="both"/>
        <w:rPr>
          <w:rFonts w:ascii="Tahoma" w:hAnsi="Tahoma" w:cs="Tahoma"/>
        </w:rPr>
      </w:pPr>
    </w:p>
    <w:p w14:paraId="0C4124B8"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Mejoró la comunicación con comunidades locales durante el 2024.</w:t>
      </w:r>
    </w:p>
    <w:p w14:paraId="3A2A694E" w14:textId="77777777" w:rsidR="00C655C6" w:rsidRPr="008F3713" w:rsidRDefault="00C655C6" w:rsidP="00C655C6">
      <w:pPr>
        <w:spacing w:after="0" w:line="240" w:lineRule="auto"/>
        <w:jc w:val="both"/>
        <w:rPr>
          <w:rFonts w:ascii="Tahoma" w:hAnsi="Tahoma" w:cs="Tahoma"/>
          <w:b/>
          <w:bCs/>
        </w:rPr>
      </w:pPr>
    </w:p>
    <w:p w14:paraId="0816B399"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Hitos:</w:t>
      </w:r>
    </w:p>
    <w:p w14:paraId="69F4BB63" w14:textId="77777777" w:rsidR="00C655C6" w:rsidRPr="008F3713" w:rsidRDefault="00C655C6" w:rsidP="00C655C6">
      <w:pPr>
        <w:spacing w:after="0" w:line="240" w:lineRule="auto"/>
        <w:jc w:val="both"/>
        <w:rPr>
          <w:rFonts w:ascii="Tahoma" w:hAnsi="Tahoma" w:cs="Tahoma"/>
        </w:rPr>
      </w:pPr>
    </w:p>
    <w:p w14:paraId="6CC5B7C1"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Reuniones periódicas con los representantes de las comunidades involucradas.</w:t>
      </w:r>
    </w:p>
    <w:p w14:paraId="78274B70" w14:textId="77777777" w:rsidR="00C655C6" w:rsidRPr="008F3713" w:rsidRDefault="00C655C6" w:rsidP="00C655C6">
      <w:pPr>
        <w:spacing w:after="0" w:line="240" w:lineRule="auto"/>
        <w:jc w:val="both"/>
        <w:rPr>
          <w:rFonts w:ascii="Tahoma" w:hAnsi="Tahoma" w:cs="Tahoma"/>
        </w:rPr>
      </w:pPr>
    </w:p>
    <w:p w14:paraId="16861049"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Anticipación:</w:t>
      </w:r>
    </w:p>
    <w:p w14:paraId="302B7917" w14:textId="77777777" w:rsidR="00C655C6" w:rsidRPr="008F3713" w:rsidRDefault="00C655C6" w:rsidP="00C655C6">
      <w:pPr>
        <w:spacing w:after="0" w:line="240" w:lineRule="auto"/>
        <w:jc w:val="both"/>
        <w:rPr>
          <w:rFonts w:ascii="Tahoma" w:hAnsi="Tahoma" w:cs="Tahoma"/>
        </w:rPr>
      </w:pPr>
    </w:p>
    <w:p w14:paraId="0ED14685"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Ejecución de programas sociales y estrategias de relacionamiento anticipado.</w:t>
      </w:r>
    </w:p>
    <w:p w14:paraId="0D8B03A8" w14:textId="77777777" w:rsidR="00C655C6" w:rsidRPr="008F3713" w:rsidRDefault="00C655C6" w:rsidP="00C655C6">
      <w:pPr>
        <w:spacing w:after="0" w:line="240" w:lineRule="auto"/>
        <w:jc w:val="both"/>
        <w:rPr>
          <w:rFonts w:ascii="Tahoma" w:hAnsi="Tahoma" w:cs="Tahoma"/>
        </w:rPr>
      </w:pPr>
    </w:p>
    <w:p w14:paraId="2918055F" w14:textId="77777777" w:rsidR="00C655C6" w:rsidRPr="008F3713" w:rsidRDefault="00C655C6" w:rsidP="00C655C6">
      <w:pPr>
        <w:pStyle w:val="Prrafodelista"/>
        <w:numPr>
          <w:ilvl w:val="0"/>
          <w:numId w:val="182"/>
        </w:numPr>
        <w:spacing w:after="0" w:line="240" w:lineRule="auto"/>
        <w:jc w:val="both"/>
        <w:rPr>
          <w:rFonts w:ascii="Tahoma" w:hAnsi="Tahoma" w:cs="Tahoma"/>
          <w:b/>
          <w:bCs/>
        </w:rPr>
      </w:pPr>
      <w:r w:rsidRPr="008F3713">
        <w:rPr>
          <w:rFonts w:ascii="Tahoma" w:hAnsi="Tahoma" w:cs="Tahoma"/>
          <w:b/>
          <w:bCs/>
        </w:rPr>
        <w:t>Incremento de invasiones a la franja de servidumbre</w:t>
      </w:r>
    </w:p>
    <w:p w14:paraId="1992CFFA" w14:textId="77777777" w:rsidR="00C655C6" w:rsidRPr="008F3713" w:rsidRDefault="00C655C6" w:rsidP="00C655C6">
      <w:pPr>
        <w:spacing w:after="0" w:line="240" w:lineRule="auto"/>
        <w:jc w:val="both"/>
        <w:rPr>
          <w:rFonts w:ascii="Tahoma" w:hAnsi="Tahoma" w:cs="Tahoma"/>
          <w:b/>
          <w:bCs/>
        </w:rPr>
      </w:pPr>
    </w:p>
    <w:p w14:paraId="304161B8"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Evolución:</w:t>
      </w:r>
    </w:p>
    <w:p w14:paraId="574E96A6" w14:textId="77777777" w:rsidR="00C655C6" w:rsidRPr="008F3713" w:rsidRDefault="00C655C6" w:rsidP="00C655C6">
      <w:pPr>
        <w:spacing w:after="0" w:line="240" w:lineRule="auto"/>
        <w:jc w:val="both"/>
        <w:rPr>
          <w:rFonts w:ascii="Tahoma" w:hAnsi="Tahoma" w:cs="Tahoma"/>
        </w:rPr>
      </w:pPr>
    </w:p>
    <w:p w14:paraId="7CF65117"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Aumentó la concienciación mediante actividades que involucraron tecnologías de realidad virtual para sensibilizar sobre riesgos de invasión.</w:t>
      </w:r>
    </w:p>
    <w:p w14:paraId="1091EA0D" w14:textId="77777777" w:rsidR="00C655C6" w:rsidRPr="008F3713" w:rsidRDefault="00C655C6" w:rsidP="00C655C6">
      <w:pPr>
        <w:spacing w:after="0" w:line="240" w:lineRule="auto"/>
        <w:jc w:val="both"/>
        <w:rPr>
          <w:rFonts w:ascii="Tahoma" w:hAnsi="Tahoma" w:cs="Tahoma"/>
          <w:b/>
          <w:bCs/>
        </w:rPr>
      </w:pPr>
    </w:p>
    <w:p w14:paraId="48CCB097"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Hitos:</w:t>
      </w:r>
    </w:p>
    <w:p w14:paraId="6F9F6FB6" w14:textId="77777777" w:rsidR="00C655C6" w:rsidRPr="008F3713" w:rsidRDefault="00C655C6" w:rsidP="00C655C6">
      <w:pPr>
        <w:spacing w:after="0" w:line="240" w:lineRule="auto"/>
        <w:jc w:val="both"/>
        <w:rPr>
          <w:rFonts w:ascii="Tahoma" w:hAnsi="Tahoma" w:cs="Tahoma"/>
        </w:rPr>
      </w:pPr>
    </w:p>
    <w:p w14:paraId="528D97AC"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Uso de herramientas de realidad virtual y colaboración comunitaria para despeje de zonas críticas.</w:t>
      </w:r>
    </w:p>
    <w:p w14:paraId="1D007362" w14:textId="77777777" w:rsidR="00C655C6" w:rsidRPr="008F3713" w:rsidRDefault="00C655C6" w:rsidP="00C655C6">
      <w:pPr>
        <w:spacing w:after="0" w:line="240" w:lineRule="auto"/>
        <w:jc w:val="both"/>
        <w:rPr>
          <w:rFonts w:ascii="Tahoma" w:hAnsi="Tahoma" w:cs="Tahoma"/>
          <w:b/>
          <w:bCs/>
        </w:rPr>
      </w:pPr>
    </w:p>
    <w:p w14:paraId="35573E89"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Anticipación:</w:t>
      </w:r>
    </w:p>
    <w:p w14:paraId="6F06CFA1" w14:textId="77777777" w:rsidR="00C655C6" w:rsidRPr="008F3713" w:rsidRDefault="00C655C6" w:rsidP="00C655C6">
      <w:pPr>
        <w:spacing w:after="0" w:line="240" w:lineRule="auto"/>
        <w:jc w:val="both"/>
        <w:rPr>
          <w:rFonts w:ascii="Tahoma" w:hAnsi="Tahoma" w:cs="Tahoma"/>
        </w:rPr>
      </w:pPr>
    </w:p>
    <w:p w14:paraId="735846BA"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Relacionamiento continuo con autoridades, gobierno, líderes sociales, indígenas y comunidades vecinas a la infraestructura.</w:t>
      </w:r>
    </w:p>
    <w:p w14:paraId="1C9E3580" w14:textId="77777777" w:rsidR="00C655C6" w:rsidRPr="008F3713" w:rsidRDefault="00C655C6" w:rsidP="00C655C6">
      <w:pPr>
        <w:spacing w:after="0" w:line="240" w:lineRule="auto"/>
        <w:jc w:val="both"/>
        <w:rPr>
          <w:rFonts w:ascii="Tahoma" w:hAnsi="Tahoma" w:cs="Tahoma"/>
          <w:b/>
          <w:bCs/>
        </w:rPr>
      </w:pPr>
    </w:p>
    <w:p w14:paraId="7C772093" w14:textId="77777777" w:rsidR="00C655C6" w:rsidRPr="008F3713" w:rsidRDefault="00C655C6" w:rsidP="00C655C6">
      <w:pPr>
        <w:spacing w:after="0" w:line="240" w:lineRule="auto"/>
        <w:jc w:val="both"/>
        <w:rPr>
          <w:rFonts w:ascii="Tahoma" w:hAnsi="Tahoma" w:cs="Tahoma"/>
          <w:b/>
          <w:bCs/>
        </w:rPr>
      </w:pPr>
    </w:p>
    <w:p w14:paraId="0129A6A2"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Oportunidades</w:t>
      </w:r>
    </w:p>
    <w:p w14:paraId="35EA58D0" w14:textId="77777777" w:rsidR="00C655C6" w:rsidRPr="008F3713" w:rsidRDefault="00C655C6" w:rsidP="00C655C6">
      <w:pPr>
        <w:spacing w:after="0" w:line="240" w:lineRule="auto"/>
        <w:jc w:val="both"/>
        <w:rPr>
          <w:rFonts w:ascii="Tahoma" w:hAnsi="Tahoma" w:cs="Tahoma"/>
        </w:rPr>
      </w:pPr>
    </w:p>
    <w:p w14:paraId="7A5DF3BC" w14:textId="77777777" w:rsidR="00C655C6" w:rsidRPr="008F3713" w:rsidRDefault="00C655C6" w:rsidP="00C655C6">
      <w:pPr>
        <w:numPr>
          <w:ilvl w:val="0"/>
          <w:numId w:val="169"/>
        </w:numPr>
        <w:spacing w:after="0" w:line="240" w:lineRule="auto"/>
        <w:jc w:val="both"/>
        <w:rPr>
          <w:rFonts w:ascii="Tahoma" w:hAnsi="Tahoma" w:cs="Tahoma"/>
        </w:rPr>
      </w:pPr>
      <w:r w:rsidRPr="008F3713">
        <w:rPr>
          <w:rFonts w:ascii="Tahoma" w:hAnsi="Tahoma" w:cs="Tahoma"/>
        </w:rPr>
        <w:t>Mejora de la reputación de la empresa</w:t>
      </w:r>
    </w:p>
    <w:p w14:paraId="015C663E" w14:textId="77777777" w:rsidR="00C655C6" w:rsidRPr="008F3713" w:rsidRDefault="00C655C6" w:rsidP="00C655C6">
      <w:pPr>
        <w:numPr>
          <w:ilvl w:val="0"/>
          <w:numId w:val="169"/>
        </w:numPr>
        <w:spacing w:after="0" w:line="240" w:lineRule="auto"/>
        <w:jc w:val="both"/>
        <w:rPr>
          <w:rFonts w:ascii="Tahoma" w:hAnsi="Tahoma" w:cs="Tahoma"/>
        </w:rPr>
      </w:pPr>
      <w:r w:rsidRPr="008F3713">
        <w:rPr>
          <w:rFonts w:ascii="Tahoma" w:hAnsi="Tahoma" w:cs="Tahoma"/>
        </w:rPr>
        <w:t>Mitigación de los riesgos asociados a conflictos sociales y ambientales.</w:t>
      </w:r>
    </w:p>
    <w:p w14:paraId="50CAFE36" w14:textId="77777777" w:rsidR="00C655C6" w:rsidRPr="008F3713" w:rsidRDefault="00C655C6" w:rsidP="00C655C6">
      <w:pPr>
        <w:numPr>
          <w:ilvl w:val="0"/>
          <w:numId w:val="169"/>
        </w:numPr>
        <w:spacing w:after="0" w:line="240" w:lineRule="auto"/>
        <w:jc w:val="both"/>
        <w:rPr>
          <w:rFonts w:ascii="Tahoma" w:hAnsi="Tahoma" w:cs="Tahoma"/>
        </w:rPr>
      </w:pPr>
      <w:r w:rsidRPr="008F3713">
        <w:rPr>
          <w:rFonts w:ascii="Tahoma" w:hAnsi="Tahoma" w:cs="Tahoma"/>
        </w:rPr>
        <w:t>Contar con aliados en los territorios que sean promotores de las actividades y prácticas de la empresa en pro de las comunidades.</w:t>
      </w:r>
    </w:p>
    <w:p w14:paraId="16874579" w14:textId="77777777" w:rsidR="00C655C6" w:rsidRPr="008F3713" w:rsidRDefault="00C655C6" w:rsidP="00C655C6">
      <w:pPr>
        <w:spacing w:after="0" w:line="240" w:lineRule="auto"/>
        <w:jc w:val="both"/>
        <w:rPr>
          <w:rFonts w:ascii="Tahoma" w:hAnsi="Tahoma" w:cs="Tahoma"/>
        </w:rPr>
      </w:pPr>
    </w:p>
    <w:p w14:paraId="5E80E874"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Anticipación</w:t>
      </w:r>
    </w:p>
    <w:p w14:paraId="12629E82" w14:textId="77777777" w:rsidR="00C655C6" w:rsidRPr="008F3713" w:rsidRDefault="00C655C6" w:rsidP="00C655C6">
      <w:pPr>
        <w:spacing w:after="0" w:line="240" w:lineRule="auto"/>
        <w:jc w:val="both"/>
        <w:rPr>
          <w:rFonts w:ascii="Tahoma" w:hAnsi="Tahoma" w:cs="Tahoma"/>
        </w:rPr>
      </w:pPr>
    </w:p>
    <w:p w14:paraId="6C679812" w14:textId="77777777" w:rsidR="00C655C6" w:rsidRPr="008F3713" w:rsidRDefault="00C655C6" w:rsidP="00C655C6">
      <w:pPr>
        <w:numPr>
          <w:ilvl w:val="0"/>
          <w:numId w:val="170"/>
        </w:numPr>
        <w:spacing w:after="0" w:line="240" w:lineRule="auto"/>
        <w:jc w:val="both"/>
        <w:rPr>
          <w:rFonts w:ascii="Tahoma" w:hAnsi="Tahoma" w:cs="Tahoma"/>
        </w:rPr>
      </w:pPr>
      <w:r w:rsidRPr="008F3713">
        <w:rPr>
          <w:rFonts w:ascii="Tahoma" w:hAnsi="Tahoma" w:cs="Tahoma"/>
        </w:rPr>
        <w:t>Ejecutando programas sociales en los territorios priorizados por TRANSELCA. </w:t>
      </w:r>
    </w:p>
    <w:p w14:paraId="5D41E93E" w14:textId="77777777" w:rsidR="00C655C6" w:rsidRPr="008F3713" w:rsidRDefault="00C655C6" w:rsidP="00C655C6">
      <w:pPr>
        <w:numPr>
          <w:ilvl w:val="0"/>
          <w:numId w:val="170"/>
        </w:numPr>
        <w:spacing w:after="0" w:line="240" w:lineRule="auto"/>
        <w:jc w:val="both"/>
        <w:rPr>
          <w:rFonts w:ascii="Tahoma" w:hAnsi="Tahoma" w:cs="Tahoma"/>
        </w:rPr>
      </w:pPr>
      <w:r w:rsidRPr="008F3713">
        <w:rPr>
          <w:rFonts w:ascii="Tahoma" w:hAnsi="Tahoma" w:cs="Tahoma"/>
        </w:rPr>
        <w:lastRenderedPageBreak/>
        <w:t>Realizando un relacionamiento anticipado, respetando la cultura y tradiciones de las comunidades. </w:t>
      </w:r>
    </w:p>
    <w:p w14:paraId="449DCF5B" w14:textId="77777777" w:rsidR="00C655C6" w:rsidRPr="008F3713" w:rsidRDefault="00C655C6" w:rsidP="00C655C6">
      <w:pPr>
        <w:numPr>
          <w:ilvl w:val="0"/>
          <w:numId w:val="170"/>
        </w:numPr>
        <w:spacing w:after="0" w:line="240" w:lineRule="auto"/>
        <w:jc w:val="both"/>
        <w:rPr>
          <w:rFonts w:ascii="Tahoma" w:hAnsi="Tahoma" w:cs="Tahoma"/>
        </w:rPr>
      </w:pPr>
      <w:r w:rsidRPr="008F3713">
        <w:rPr>
          <w:rFonts w:ascii="Tahoma" w:hAnsi="Tahoma" w:cs="Tahoma"/>
        </w:rPr>
        <w:t>Manteniendo informados a los líderes de las comunidades de las actividades a ejecutar.</w:t>
      </w:r>
    </w:p>
    <w:p w14:paraId="7528BC1C" w14:textId="77777777" w:rsidR="00C655C6" w:rsidRPr="008F3713" w:rsidRDefault="00C655C6" w:rsidP="00C655C6">
      <w:pPr>
        <w:spacing w:after="0" w:line="240" w:lineRule="auto"/>
        <w:jc w:val="both"/>
        <w:rPr>
          <w:rFonts w:ascii="Tahoma" w:hAnsi="Tahoma" w:cs="Tahoma"/>
          <w:b/>
          <w:bCs/>
        </w:rPr>
      </w:pPr>
    </w:p>
    <w:p w14:paraId="36C56726"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Metas y objetivos alcanzados:</w:t>
      </w:r>
    </w:p>
    <w:p w14:paraId="4E12E2B6" w14:textId="77777777" w:rsidR="00C655C6" w:rsidRPr="008F3713" w:rsidRDefault="00C655C6" w:rsidP="00C655C6">
      <w:pPr>
        <w:spacing w:after="0" w:line="240" w:lineRule="auto"/>
        <w:jc w:val="both"/>
        <w:rPr>
          <w:rFonts w:ascii="Tahoma" w:hAnsi="Tahoma" w:cs="Tahoma"/>
        </w:rPr>
      </w:pPr>
    </w:p>
    <w:p w14:paraId="45904C04"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Implementación del Modelo de Gestión Social Conexión Desarrollo en los territorios priorizados por TRANSELCA, que permitirá habilitar la operación de la empresa y generar un impacto en los territorios a través de los siguientes indicadores: </w:t>
      </w:r>
    </w:p>
    <w:p w14:paraId="4BC0FE82" w14:textId="77777777" w:rsidR="00C655C6" w:rsidRPr="008F3713" w:rsidRDefault="00C655C6" w:rsidP="00C655C6">
      <w:pPr>
        <w:spacing w:after="0" w:line="240" w:lineRule="auto"/>
        <w:jc w:val="both"/>
        <w:rPr>
          <w:rFonts w:ascii="Tahoma" w:hAnsi="Tahoma" w:cs="Tahoma"/>
        </w:rPr>
      </w:pPr>
    </w:p>
    <w:p w14:paraId="45F09EE3"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Inversión social total (monto)</w:t>
      </w:r>
    </w:p>
    <w:p w14:paraId="3B0C4641"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Personas beneficiadas (número)</w:t>
      </w:r>
    </w:p>
    <w:p w14:paraId="60EFF2A5"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Organizaciones beneficiadas (número)</w:t>
      </w:r>
    </w:p>
    <w:p w14:paraId="703C8545"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Total, municipios con presencia (número)</w:t>
      </w:r>
    </w:p>
    <w:p w14:paraId="5CD1A665"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Municipios beneficiados (número)</w:t>
      </w:r>
    </w:p>
    <w:p w14:paraId="71E9541E"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 Municipios beneficiados</w:t>
      </w:r>
    </w:p>
    <w:p w14:paraId="1F4D0487" w14:textId="77777777" w:rsidR="00C655C6" w:rsidRPr="008F3713" w:rsidRDefault="00C655C6" w:rsidP="00C655C6">
      <w:pPr>
        <w:numPr>
          <w:ilvl w:val="0"/>
          <w:numId w:val="171"/>
        </w:numPr>
        <w:spacing w:after="0" w:line="240" w:lineRule="auto"/>
        <w:jc w:val="both"/>
        <w:rPr>
          <w:rFonts w:ascii="Tahoma" w:hAnsi="Tahoma" w:cs="Tahoma"/>
        </w:rPr>
      </w:pPr>
      <w:r w:rsidRPr="008F3713">
        <w:rPr>
          <w:rFonts w:ascii="Tahoma" w:hAnsi="Tahoma" w:cs="Tahoma"/>
        </w:rPr>
        <w:t>% avance de obras</w:t>
      </w:r>
    </w:p>
    <w:p w14:paraId="68B36BCF" w14:textId="77777777" w:rsidR="00C655C6" w:rsidRPr="008F3713" w:rsidRDefault="00C655C6" w:rsidP="00C655C6">
      <w:pPr>
        <w:spacing w:after="0" w:line="240" w:lineRule="auto"/>
        <w:jc w:val="both"/>
        <w:rPr>
          <w:rFonts w:ascii="Tahoma" w:hAnsi="Tahoma" w:cs="Tahoma"/>
          <w:b/>
          <w:bCs/>
        </w:rPr>
      </w:pPr>
    </w:p>
    <w:p w14:paraId="463BC9F4"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Lecciones aprendidas</w:t>
      </w:r>
    </w:p>
    <w:p w14:paraId="7EBF62BD" w14:textId="77777777" w:rsidR="00C655C6" w:rsidRPr="008F3713" w:rsidRDefault="00C655C6" w:rsidP="00C655C6">
      <w:pPr>
        <w:spacing w:after="0" w:line="240" w:lineRule="auto"/>
        <w:jc w:val="both"/>
        <w:rPr>
          <w:rFonts w:ascii="Tahoma" w:hAnsi="Tahoma" w:cs="Tahoma"/>
        </w:rPr>
      </w:pPr>
    </w:p>
    <w:p w14:paraId="0F3BE958"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Las lecciones aprendidas subrayan la importancia de realizar un análisis profundo y detallado de los territorios antes de iniciar cualquier proyecto o programa. Esta práctica fue implementada en los programas ejecutados durante 2024, integrándose en los procesos de gestión para fortalecer las relaciones con las comunidades, prevenir distanciamientos y garantizar una operación eficiente y una prestación adecuada del servicio.</w:t>
      </w:r>
    </w:p>
    <w:p w14:paraId="0873920A" w14:textId="77777777" w:rsidR="00C655C6" w:rsidRPr="008F3713" w:rsidRDefault="00C655C6" w:rsidP="00C655C6">
      <w:pPr>
        <w:spacing w:after="0" w:line="240" w:lineRule="auto"/>
        <w:jc w:val="both"/>
        <w:rPr>
          <w:rFonts w:ascii="Tahoma" w:hAnsi="Tahoma" w:cs="Tahoma"/>
          <w:b/>
          <w:bCs/>
        </w:rPr>
      </w:pPr>
    </w:p>
    <w:p w14:paraId="54B63E88" w14:textId="77777777" w:rsidR="00C655C6" w:rsidRPr="008F3713" w:rsidRDefault="00C655C6" w:rsidP="00C655C6">
      <w:pPr>
        <w:spacing w:after="0" w:line="240" w:lineRule="auto"/>
        <w:jc w:val="both"/>
        <w:rPr>
          <w:rFonts w:ascii="Tahoma" w:hAnsi="Tahoma" w:cs="Tahoma"/>
        </w:rPr>
      </w:pPr>
      <w:r w:rsidRPr="008F3713">
        <w:rPr>
          <w:rFonts w:ascii="Tahoma" w:hAnsi="Tahoma" w:cs="Tahoma"/>
          <w:b/>
          <w:bCs/>
        </w:rPr>
        <w:t>Innovaciones </w:t>
      </w:r>
    </w:p>
    <w:p w14:paraId="6E89CA62" w14:textId="77777777" w:rsidR="00C655C6" w:rsidRPr="008F3713" w:rsidRDefault="00C655C6" w:rsidP="00C655C6">
      <w:pPr>
        <w:spacing w:after="0" w:line="240" w:lineRule="auto"/>
        <w:jc w:val="both"/>
        <w:rPr>
          <w:rFonts w:ascii="Tahoma" w:hAnsi="Tahoma" w:cs="Tahoma"/>
        </w:rPr>
      </w:pPr>
    </w:p>
    <w:p w14:paraId="37260FC8"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 xml:space="preserve">Se amplió la realización de diagnósticos y caracterizaciones de las comunidades del área de influencia, lo que le permitió a TRANSELCA identificar de manera anticipada los actores clave y obtener un mapeo detallado de las comunidades. </w:t>
      </w:r>
    </w:p>
    <w:p w14:paraId="4A384100" w14:textId="77777777" w:rsidR="00C655C6" w:rsidRPr="008F3713" w:rsidRDefault="00C655C6" w:rsidP="00C655C6">
      <w:pPr>
        <w:spacing w:after="0" w:line="240" w:lineRule="auto"/>
        <w:jc w:val="both"/>
        <w:rPr>
          <w:rFonts w:ascii="Tahoma" w:hAnsi="Tahoma" w:cs="Tahoma"/>
        </w:rPr>
      </w:pPr>
    </w:p>
    <w:p w14:paraId="6B227291"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Además, se incorporó el uso de herramientas de realidad virtual en reuniones comunitarias, facilitando la sensibilización y comprensión de los proyectos.</w:t>
      </w:r>
    </w:p>
    <w:p w14:paraId="23920F27" w14:textId="77777777" w:rsidR="00C655C6" w:rsidRPr="008F3713" w:rsidRDefault="00C655C6" w:rsidP="00C655C6">
      <w:pPr>
        <w:spacing w:after="0" w:line="240" w:lineRule="auto"/>
        <w:jc w:val="both"/>
        <w:rPr>
          <w:rFonts w:ascii="Tahoma" w:hAnsi="Tahoma" w:cs="Tahoma"/>
          <w:b/>
          <w:bCs/>
        </w:rPr>
      </w:pPr>
    </w:p>
    <w:p w14:paraId="355C02FE"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Comunicación con los grupos de interés</w:t>
      </w:r>
    </w:p>
    <w:p w14:paraId="25EB8A1D" w14:textId="77777777" w:rsidR="00C655C6" w:rsidRPr="008F3713" w:rsidRDefault="00C655C6" w:rsidP="00C655C6">
      <w:pPr>
        <w:spacing w:after="0" w:line="240" w:lineRule="auto"/>
        <w:jc w:val="both"/>
        <w:rPr>
          <w:rFonts w:ascii="Tahoma" w:hAnsi="Tahoma" w:cs="Tahoma"/>
        </w:rPr>
      </w:pPr>
    </w:p>
    <w:p w14:paraId="581E4B15"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A través de reuniones periódicas, llamadas personalizadas, grupos de WhatsApp, correo institucional y página web.</w:t>
      </w:r>
    </w:p>
    <w:p w14:paraId="1D334896" w14:textId="77777777" w:rsidR="00C655C6" w:rsidRPr="008F3713" w:rsidRDefault="00C655C6" w:rsidP="00C655C6">
      <w:pPr>
        <w:spacing w:after="0" w:line="240" w:lineRule="auto"/>
        <w:jc w:val="both"/>
        <w:rPr>
          <w:rFonts w:ascii="Tahoma" w:hAnsi="Tahoma" w:cs="Tahoma"/>
          <w:b/>
          <w:bCs/>
        </w:rPr>
      </w:pPr>
    </w:p>
    <w:p w14:paraId="32D90855" w14:textId="390F9299" w:rsidR="00C655C6" w:rsidRPr="00FC523D" w:rsidRDefault="00C655C6" w:rsidP="00FC523D">
      <w:pPr>
        <w:spacing w:after="0" w:line="240" w:lineRule="auto"/>
        <w:rPr>
          <w:rFonts w:ascii="Tahoma" w:hAnsi="Tahoma" w:cs="Tahoma"/>
          <w:b/>
          <w:bCs/>
          <w:color w:val="0070C0"/>
        </w:rPr>
      </w:pPr>
      <w:r w:rsidRPr="00FC523D">
        <w:rPr>
          <w:rFonts w:ascii="Tahoma" w:hAnsi="Tahoma" w:cs="Tahoma"/>
          <w:b/>
          <w:bCs/>
          <w:color w:val="0070C0"/>
          <w:sz w:val="36"/>
          <w:szCs w:val="36"/>
        </w:rPr>
        <w:lastRenderedPageBreak/>
        <w:t>Inversión social en pro del desarrollo socioeconómico</w:t>
      </w:r>
      <w:r w:rsidR="00FC523D">
        <w:rPr>
          <w:rFonts w:ascii="Tahoma" w:hAnsi="Tahoma" w:cs="Tahoma"/>
          <w:b/>
          <w:bCs/>
          <w:color w:val="0070C0"/>
          <w:sz w:val="36"/>
          <w:szCs w:val="36"/>
        </w:rPr>
        <w:t xml:space="preserve"> </w:t>
      </w:r>
      <w:r w:rsidRPr="00FC523D">
        <w:rPr>
          <w:rFonts w:ascii="Tahoma" w:hAnsi="Tahoma" w:cs="Tahoma"/>
          <w:b/>
          <w:bCs/>
          <w:color w:val="0070C0"/>
        </w:rPr>
        <w:t>GRI 413-1</w:t>
      </w:r>
    </w:p>
    <w:p w14:paraId="4B217F51" w14:textId="77777777" w:rsidR="00C655C6" w:rsidRPr="008F3713" w:rsidRDefault="00C655C6" w:rsidP="00C655C6">
      <w:pPr>
        <w:spacing w:after="0" w:line="240" w:lineRule="auto"/>
        <w:jc w:val="both"/>
        <w:rPr>
          <w:rFonts w:ascii="Tahoma" w:hAnsi="Tahoma" w:cs="Tahoma"/>
          <w:b/>
          <w:bCs/>
        </w:rPr>
      </w:pPr>
    </w:p>
    <w:p w14:paraId="5F1E297B"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Maletines Viajeros</w:t>
      </w:r>
    </w:p>
    <w:p w14:paraId="2174BA60" w14:textId="77777777" w:rsidR="00FC523D" w:rsidRDefault="00C655C6" w:rsidP="00FC523D">
      <w:pPr>
        <w:jc w:val="both"/>
        <w:rPr>
          <w:rFonts w:ascii="Tahoma" w:eastAsia="Times New Roman" w:hAnsi="Tahoma" w:cs="Tahoma"/>
          <w:kern w:val="0"/>
          <w:sz w:val="22"/>
          <w:szCs w:val="22"/>
          <w:lang w:eastAsia="es-CO"/>
          <w14:ligatures w14:val="none"/>
        </w:rPr>
      </w:pPr>
      <w:r w:rsidRPr="008F3713">
        <w:rPr>
          <w:rFonts w:ascii="Tahoma" w:eastAsia="Times New Roman" w:hAnsi="Tahoma" w:cs="Tahoma"/>
          <w:b/>
          <w:bCs/>
          <w:kern w:val="0"/>
          <w:lang w:eastAsia="es-ES"/>
          <w14:ligatures w14:val="none"/>
        </w:rPr>
        <w:t>Monto Invertido: $143.891.529</w:t>
      </w:r>
      <w:r w:rsidRPr="008F3713">
        <w:rPr>
          <w:rFonts w:ascii="Tahoma" w:eastAsia="Times New Roman" w:hAnsi="Tahoma" w:cs="Tahoma"/>
          <w:kern w:val="0"/>
          <w:sz w:val="22"/>
          <w:szCs w:val="22"/>
          <w:lang w:eastAsia="es-CO"/>
          <w14:ligatures w14:val="none"/>
        </w:rPr>
        <w:t xml:space="preserve"> </w:t>
      </w:r>
    </w:p>
    <w:p w14:paraId="074BE974" w14:textId="524AFA64" w:rsidR="00C655C6" w:rsidRPr="00FC523D" w:rsidRDefault="00C655C6" w:rsidP="00FC523D">
      <w:pPr>
        <w:jc w:val="both"/>
        <w:rPr>
          <w:rFonts w:ascii="Tahoma" w:eastAsia="Times New Roman" w:hAnsi="Tahoma" w:cs="Tahoma"/>
          <w:kern w:val="0"/>
          <w:sz w:val="22"/>
          <w:szCs w:val="22"/>
          <w:lang w:eastAsia="es-CO"/>
          <w14:ligatures w14:val="none"/>
        </w:rPr>
      </w:pPr>
      <w:r w:rsidRPr="008F3713">
        <w:rPr>
          <w:rFonts w:ascii="Tahoma" w:eastAsia="Times New Roman" w:hAnsi="Tahoma" w:cs="Tahoma"/>
          <w:b/>
          <w:bCs/>
          <w:kern w:val="0"/>
          <w:lang w:eastAsia="es-ES"/>
          <w14:ligatures w14:val="none"/>
        </w:rPr>
        <w:t xml:space="preserve">Personas beneficiadas: </w:t>
      </w:r>
      <w:r w:rsidRPr="008F3713">
        <w:rPr>
          <w:rFonts w:ascii="Tahoma" w:eastAsia="Times New Roman" w:hAnsi="Tahoma" w:cs="Tahoma"/>
          <w:b/>
          <w:bCs/>
          <w:kern w:val="0"/>
          <w:lang w:val="es-MX" w:eastAsia="es-ES"/>
          <w14:ligatures w14:val="none"/>
        </w:rPr>
        <w:t>398</w:t>
      </w:r>
      <w:r w:rsidRPr="008F3713">
        <w:rPr>
          <w:rFonts w:ascii="Tahoma" w:eastAsia="Times New Roman" w:hAnsi="Tahoma" w:cs="Tahoma"/>
          <w:kern w:val="0"/>
          <w:lang w:eastAsia="es-ES"/>
          <w14:ligatures w14:val="none"/>
        </w:rPr>
        <w:t xml:space="preserve"> profesores, 14.300 estudiantes. </w:t>
      </w:r>
    </w:p>
    <w:p w14:paraId="0647C1E3"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09E5E487"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Este programa que ya suma más de 17 años de experiencia, busca fortalecer el acceso a la lectura y el conocimiento en diferentes comunidades que no cuentan con bibliotecas en su territorio.</w:t>
      </w:r>
      <w:r w:rsidRPr="008F3713">
        <w:rPr>
          <w:rFonts w:ascii="Tahoma" w:eastAsia="Times New Roman" w:hAnsi="Tahoma" w:cs="Tahoma"/>
          <w:b/>
          <w:bCs/>
          <w:kern w:val="0"/>
          <w:lang w:eastAsia="es-ES"/>
          <w14:ligatures w14:val="none"/>
        </w:rPr>
        <w:t xml:space="preserve"> </w:t>
      </w:r>
    </w:p>
    <w:p w14:paraId="537CD852"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7783B45A"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12AAD67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Actividades realizadas</w:t>
      </w:r>
    </w:p>
    <w:p w14:paraId="3EF31B34"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0F6770A9"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noProof/>
          <w:kern w:val="0"/>
          <w:lang w:eastAsia="es-ES"/>
          <w14:ligatures w14:val="none"/>
        </w:rPr>
        <w:drawing>
          <wp:anchor distT="0" distB="0" distL="114300" distR="114300" simplePos="0" relativeHeight="251692032" behindDoc="0" locked="0" layoutInCell="1" allowOverlap="1" wp14:anchorId="0E67F53C" wp14:editId="4537C91E">
            <wp:simplePos x="0" y="0"/>
            <wp:positionH relativeFrom="column">
              <wp:posOffset>2573655</wp:posOffset>
            </wp:positionH>
            <wp:positionV relativeFrom="paragraph">
              <wp:posOffset>5080</wp:posOffset>
            </wp:positionV>
            <wp:extent cx="3425825" cy="2184400"/>
            <wp:effectExtent l="0" t="0" r="3175" b="6350"/>
            <wp:wrapSquare wrapText="bothSides"/>
            <wp:docPr id="255722756" name="Imagen 1" descr="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22756" name="Imagen 1" descr="Texto, Aplicación, Chat o mensaje de texto&#10;&#10;El contenido generado por IA puede ser incorrecto."/>
                    <pic:cNvPicPr/>
                  </pic:nvPicPr>
                  <pic:blipFill>
                    <a:blip r:embed="rId39">
                      <a:extLst>
                        <a:ext uri="{28A0092B-C50C-407E-A947-70E740481C1C}">
                          <a14:useLocalDpi xmlns:a14="http://schemas.microsoft.com/office/drawing/2010/main" val="0"/>
                        </a:ext>
                      </a:extLst>
                    </a:blip>
                    <a:stretch>
                      <a:fillRect/>
                    </a:stretch>
                  </pic:blipFill>
                  <pic:spPr>
                    <a:xfrm>
                      <a:off x="0" y="0"/>
                      <a:ext cx="3425825" cy="2184400"/>
                    </a:xfrm>
                    <a:prstGeom prst="rect">
                      <a:avLst/>
                    </a:prstGeom>
                  </pic:spPr>
                </pic:pic>
              </a:graphicData>
            </a:graphic>
            <wp14:sizeRelH relativeFrom="page">
              <wp14:pctWidth>0</wp14:pctWidth>
            </wp14:sizeRelH>
            <wp14:sizeRelV relativeFrom="page">
              <wp14:pctHeight>0</wp14:pctHeight>
            </wp14:sizeRelV>
          </wp:anchor>
        </w:drawing>
      </w:r>
      <w:r w:rsidRPr="008F3713">
        <w:rPr>
          <w:rFonts w:ascii="Tahoma" w:eastAsia="Times New Roman" w:hAnsi="Tahoma" w:cs="Tahoma"/>
          <w:kern w:val="0"/>
          <w:lang w:eastAsia="es-ES"/>
          <w14:ligatures w14:val="none"/>
        </w:rPr>
        <w:t>Acompañamiento formativo a docentes y la apertura de dos (2) bibliotecas.</w:t>
      </w:r>
    </w:p>
    <w:p w14:paraId="0E59C3E9"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Se llevó a cabo el 2do acompañamiento formativo en Cartagena.</w:t>
      </w:r>
    </w:p>
    <w:p w14:paraId="24BD842F"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Diversas actividades virtuales, sumando un total de siete (7). </w:t>
      </w:r>
    </w:p>
    <w:p w14:paraId="1584BDF1"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Se proporcionaron servicios bibliotecarios a tres (3) bibliotecas y se ejecutaron tres proyectos LEO.</w:t>
      </w:r>
    </w:p>
    <w:p w14:paraId="2077893D" w14:textId="77777777" w:rsidR="00C655C6" w:rsidRPr="008F3713" w:rsidRDefault="00C655C6" w:rsidP="00C655C6">
      <w:pPr>
        <w:pStyle w:val="Prrafodelista"/>
        <w:spacing w:after="0" w:line="240" w:lineRule="auto"/>
        <w:ind w:left="360"/>
        <w:jc w:val="both"/>
        <w:rPr>
          <w:rFonts w:ascii="Tahoma" w:eastAsia="Times New Roman" w:hAnsi="Tahoma" w:cs="Tahoma"/>
          <w:kern w:val="0"/>
          <w:lang w:eastAsia="es-ES"/>
          <w14:ligatures w14:val="none"/>
        </w:rPr>
      </w:pPr>
    </w:p>
    <w:p w14:paraId="24D8B5F7" w14:textId="77777777" w:rsidR="00C655C6" w:rsidRPr="008F3713" w:rsidRDefault="00C655C6" w:rsidP="00C655C6">
      <w:pPr>
        <w:pStyle w:val="Prrafodelista"/>
        <w:spacing w:after="0" w:line="240" w:lineRule="auto"/>
        <w:ind w:left="360"/>
        <w:jc w:val="both"/>
        <w:rPr>
          <w:rFonts w:ascii="Tahoma" w:eastAsia="Times New Roman" w:hAnsi="Tahoma" w:cs="Tahoma"/>
          <w:kern w:val="0"/>
          <w:lang w:eastAsia="es-ES"/>
          <w14:ligatures w14:val="none"/>
        </w:rPr>
      </w:pPr>
    </w:p>
    <w:p w14:paraId="28C97F2D"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Apertura al concurso ´Historias que viajan´, donde se recibieron 216 obras de estudiantes de 4°, 5° y 6°, las cuales demostraron su destreza en la escritura o creación de poemas y audiocuentos.</w:t>
      </w:r>
    </w:p>
    <w:p w14:paraId="5520AEE6" w14:textId="77777777" w:rsidR="00C655C6" w:rsidRPr="008F3713" w:rsidRDefault="00C655C6" w:rsidP="00C655C6">
      <w:pPr>
        <w:pStyle w:val="Prrafodelista"/>
        <w:numPr>
          <w:ilvl w:val="0"/>
          <w:numId w:val="17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Premiación a los 3 primeros puestos de cada categoría, quienes recibieron una Tablet y el kit de libros.</w:t>
      </w:r>
    </w:p>
    <w:p w14:paraId="61E28751"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4A6E1F7E"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Ganadores:</w:t>
      </w:r>
      <w:r w:rsidRPr="008F3713">
        <w:rPr>
          <w:rFonts w:ascii="Tahoma" w:eastAsia="Times New Roman" w:hAnsi="Tahoma" w:cs="Tahoma"/>
          <w:kern w:val="0"/>
          <w:lang w:eastAsia="es-ES"/>
          <w14:ligatures w14:val="none"/>
        </w:rPr>
        <w:t xml:space="preserve"> </w:t>
      </w:r>
    </w:p>
    <w:p w14:paraId="7DBB0248"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0A537860" w14:textId="77777777" w:rsidR="00C655C6" w:rsidRPr="008F3713" w:rsidRDefault="00C655C6" w:rsidP="00C655C6">
      <w:pPr>
        <w:pStyle w:val="Prrafodelista"/>
        <w:numPr>
          <w:ilvl w:val="0"/>
          <w:numId w:val="172"/>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Valeria Martínez Ballestas de la I.E. Bayunca por la categoría de cuento (Cartagena).</w:t>
      </w:r>
    </w:p>
    <w:p w14:paraId="3F3DA3DC" w14:textId="77777777" w:rsidR="00C655C6" w:rsidRPr="008F3713" w:rsidRDefault="00C655C6" w:rsidP="00C655C6">
      <w:pPr>
        <w:pStyle w:val="Prrafodelista"/>
        <w:numPr>
          <w:ilvl w:val="0"/>
          <w:numId w:val="172"/>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Shaireth Yulieth García Céspedes de la I.E. Departamental 23 de febrero (Fundación).</w:t>
      </w:r>
    </w:p>
    <w:p w14:paraId="3AC41679" w14:textId="77777777" w:rsidR="00C655C6" w:rsidRPr="008F3713" w:rsidRDefault="00C655C6" w:rsidP="00C655C6">
      <w:pPr>
        <w:pStyle w:val="Prrafodelista"/>
        <w:numPr>
          <w:ilvl w:val="0"/>
          <w:numId w:val="172"/>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lastRenderedPageBreak/>
        <w:t>Nathaly Jiménez de la I.E. José Eugenio Martínez.</w:t>
      </w:r>
    </w:p>
    <w:p w14:paraId="0F9EFAD9"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610A16F8" w14:textId="77777777" w:rsidR="00C655C6" w:rsidRPr="008F3713" w:rsidRDefault="00C655C6" w:rsidP="00C655C6">
      <w:pPr>
        <w:shd w:val="clear" w:color="auto" w:fill="002060"/>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Texto gráfica: En 2024, se fortaleció el acompañamiento formativo a más de 390 docentes de 78 instituciones educativas en los municipios de Barranquilla, Soledad, Sabanalarga, Baranoa, Fundación, Pivijay, El Copey, Valledupar, Albania, Hatonuevo, Cartagena y Santa Marta, consolidando a Maletines Viajeros como un motor de desarrollo educativo y cultural en la Región Caribe.</w:t>
      </w:r>
    </w:p>
    <w:p w14:paraId="5B201483"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78BFDF6C"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73EB1968"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Conexión Desarrollo en La Guajira</w:t>
      </w:r>
    </w:p>
    <w:p w14:paraId="1D3AAFA2" w14:textId="77777777" w:rsidR="00C655C6" w:rsidRPr="008F3713" w:rsidRDefault="00C655C6" w:rsidP="00C655C6">
      <w:pPr>
        <w:jc w:val="both"/>
        <w:rPr>
          <w:rFonts w:ascii="Tahoma" w:eastAsia="Times New Roman" w:hAnsi="Tahoma" w:cs="Tahoma"/>
          <w:kern w:val="0"/>
          <w:sz w:val="22"/>
          <w:szCs w:val="22"/>
          <w:lang w:eastAsia="es-CO"/>
          <w14:ligatures w14:val="none"/>
        </w:rPr>
      </w:pPr>
      <w:r w:rsidRPr="008F3713">
        <w:rPr>
          <w:rFonts w:ascii="Tahoma" w:eastAsia="Times New Roman" w:hAnsi="Tahoma" w:cs="Tahoma"/>
          <w:b/>
          <w:bCs/>
          <w:kern w:val="0"/>
          <w:lang w:eastAsia="es-ES"/>
          <w14:ligatures w14:val="none"/>
        </w:rPr>
        <w:t>Monto Invertido:</w:t>
      </w:r>
      <w:r w:rsidRPr="008F3713">
        <w:rPr>
          <w:rFonts w:ascii="Tahoma" w:eastAsia="Times New Roman" w:hAnsi="Tahoma" w:cs="Tahoma"/>
          <w:kern w:val="0"/>
          <w:lang w:eastAsia="es-ES"/>
          <w14:ligatures w14:val="none"/>
        </w:rPr>
        <w:t xml:space="preserve"> </w:t>
      </w:r>
      <w:r w:rsidRPr="008F3713">
        <w:rPr>
          <w:rFonts w:ascii="Tahoma" w:eastAsia="Times New Roman" w:hAnsi="Tahoma" w:cs="Tahoma"/>
          <w:b/>
          <w:bCs/>
          <w:kern w:val="0"/>
          <w:lang w:eastAsia="es-ES"/>
          <w14:ligatures w14:val="none"/>
        </w:rPr>
        <w:t>$ 205.606.500</w:t>
      </w:r>
      <w:r w:rsidRPr="008F3713">
        <w:rPr>
          <w:rFonts w:ascii="Tahoma" w:eastAsia="Times New Roman" w:hAnsi="Tahoma" w:cs="Tahoma"/>
          <w:kern w:val="0"/>
          <w:sz w:val="22"/>
          <w:szCs w:val="22"/>
          <w:lang w:eastAsia="es-CO"/>
          <w14:ligatures w14:val="none"/>
        </w:rPr>
        <w:t xml:space="preserve"> COP</w:t>
      </w:r>
    </w:p>
    <w:p w14:paraId="6F708F46"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Personas beneficiadas:</w:t>
      </w:r>
      <w:r w:rsidRPr="008F3713">
        <w:rPr>
          <w:rFonts w:ascii="Tahoma" w:hAnsi="Tahoma" w:cs="Tahoma"/>
        </w:rPr>
        <w:t xml:space="preserve"> </w:t>
      </w:r>
      <w:r w:rsidRPr="008F3713">
        <w:rPr>
          <w:rFonts w:ascii="Tahoma" w:eastAsia="Times New Roman" w:hAnsi="Tahoma" w:cs="Tahoma"/>
          <w:b/>
          <w:bCs/>
          <w:kern w:val="0"/>
          <w:lang w:eastAsia="es-ES"/>
          <w14:ligatures w14:val="none"/>
        </w:rPr>
        <w:t>5.164</w:t>
      </w:r>
    </w:p>
    <w:p w14:paraId="4C355DD3"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El modelo 'Conexión Desarrollo' busca fortalecer las capacidades e infraestructura de los ecosistemas comunitarios para generar oportunidades y contribuir al desarrollo, con una visión de largo plazo que haga sostenibles nuestros negocios en los territorios y el logro de los objetivos de la Estrategia ISA2030.</w:t>
      </w:r>
    </w:p>
    <w:p w14:paraId="365D48F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33C5C384"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Actividades realizadas</w:t>
      </w:r>
    </w:p>
    <w:p w14:paraId="44EA5BDF"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6DD34756"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noProof/>
          <w:kern w:val="0"/>
          <w:lang w:eastAsia="es-ES"/>
          <w14:ligatures w14:val="none"/>
        </w:rPr>
        <w:drawing>
          <wp:anchor distT="0" distB="0" distL="114300" distR="114300" simplePos="0" relativeHeight="251693056" behindDoc="0" locked="0" layoutInCell="1" allowOverlap="1" wp14:anchorId="082B55B0" wp14:editId="0182EB34">
            <wp:simplePos x="0" y="0"/>
            <wp:positionH relativeFrom="margin">
              <wp:align>right</wp:align>
            </wp:positionH>
            <wp:positionV relativeFrom="paragraph">
              <wp:posOffset>78057</wp:posOffset>
            </wp:positionV>
            <wp:extent cx="2855595" cy="2390140"/>
            <wp:effectExtent l="0" t="0" r="1905" b="0"/>
            <wp:wrapSquare wrapText="bothSides"/>
            <wp:docPr id="13765860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86077" name=""/>
                    <pic:cNvPicPr/>
                  </pic:nvPicPr>
                  <pic:blipFill>
                    <a:blip r:embed="rId40">
                      <a:extLst>
                        <a:ext uri="{28A0092B-C50C-407E-A947-70E740481C1C}">
                          <a14:useLocalDpi xmlns:a14="http://schemas.microsoft.com/office/drawing/2010/main" val="0"/>
                        </a:ext>
                      </a:extLst>
                    </a:blip>
                    <a:stretch>
                      <a:fillRect/>
                    </a:stretch>
                  </pic:blipFill>
                  <pic:spPr>
                    <a:xfrm>
                      <a:off x="0" y="0"/>
                      <a:ext cx="2855595" cy="2390140"/>
                    </a:xfrm>
                    <a:prstGeom prst="rect">
                      <a:avLst/>
                    </a:prstGeom>
                  </pic:spPr>
                </pic:pic>
              </a:graphicData>
            </a:graphic>
            <wp14:sizeRelH relativeFrom="page">
              <wp14:pctWidth>0</wp14:pctWidth>
            </wp14:sizeRelH>
            <wp14:sizeRelV relativeFrom="page">
              <wp14:pctHeight>0</wp14:pctHeight>
            </wp14:sizeRelV>
          </wp:anchor>
        </w:drawing>
      </w:r>
    </w:p>
    <w:p w14:paraId="5D649977" w14:textId="77777777" w:rsidR="00C655C6" w:rsidRPr="008F3713" w:rsidRDefault="00C655C6" w:rsidP="00C655C6">
      <w:pPr>
        <w:pStyle w:val="Prrafodelista"/>
        <w:numPr>
          <w:ilvl w:val="0"/>
          <w:numId w:val="18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Diseño, construcción e inauguración de dos aulas en la Escuela Yaguarito, beneficiando a 80 estudiantes del Resguardo Rodeíto El Pozo que recibían clases al aire libre. </w:t>
      </w:r>
    </w:p>
    <w:p w14:paraId="7760415E"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42B8BCDE" w14:textId="77777777" w:rsidR="00C655C6" w:rsidRPr="008F3713" w:rsidRDefault="00C655C6" w:rsidP="00C655C6">
      <w:pPr>
        <w:pStyle w:val="Prrafodelista"/>
        <w:numPr>
          <w:ilvl w:val="0"/>
          <w:numId w:val="18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Elaboración de 11 estudios de caracterización en seis resguardos indígenas (Lomamato, Mayabangloma, Cerrodeo, El Zahino, Rodeito y Potrerito), necesarios para la elaboración de una hoja de ruta que promueva el desarrollo de estas comunidades y proporcione una base sólida para futuras iniciativas de crecimiento y sostenibilidad.</w:t>
      </w:r>
    </w:p>
    <w:p w14:paraId="44326518" w14:textId="77777777" w:rsidR="00C655C6" w:rsidRPr="008F3713" w:rsidRDefault="00C655C6" w:rsidP="00C655C6">
      <w:pPr>
        <w:pStyle w:val="Prrafodelista"/>
        <w:rPr>
          <w:rFonts w:ascii="Tahoma" w:eastAsia="Times New Roman" w:hAnsi="Tahoma" w:cs="Tahoma"/>
          <w:kern w:val="0"/>
          <w:lang w:eastAsia="es-ES"/>
          <w14:ligatures w14:val="none"/>
        </w:rPr>
      </w:pPr>
    </w:p>
    <w:p w14:paraId="5C5D1864" w14:textId="77777777" w:rsidR="00C655C6" w:rsidRPr="008F3713" w:rsidRDefault="00C655C6" w:rsidP="00C655C6">
      <w:pPr>
        <w:pStyle w:val="Prrafodelista"/>
        <w:numPr>
          <w:ilvl w:val="0"/>
          <w:numId w:val="183"/>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120 familias mitigaron el riesgo de contagio de enfermedades de salud pública asociadas a vectores como chagas, leishmaniasis, dengue entre otras, gracias a un trabajo mancomunado con la cabildo gobernador del Resguardo Potrerito, las secretarias de salud municipal y departamental y la EPSI DUSAKAWI.</w:t>
      </w:r>
    </w:p>
    <w:p w14:paraId="7A7DA9E3" w14:textId="77777777" w:rsidR="00C655C6" w:rsidRPr="008F3713" w:rsidRDefault="00C655C6" w:rsidP="00C655C6">
      <w:pPr>
        <w:pStyle w:val="Prrafodelista"/>
        <w:rPr>
          <w:rFonts w:ascii="Tahoma" w:eastAsia="Times New Roman" w:hAnsi="Tahoma" w:cs="Tahoma"/>
          <w:kern w:val="0"/>
          <w:lang w:eastAsia="es-ES"/>
          <w14:ligatures w14:val="none"/>
        </w:rPr>
      </w:pPr>
    </w:p>
    <w:p w14:paraId="41EB6971" w14:textId="77777777" w:rsidR="00C655C6" w:rsidRPr="008F3713" w:rsidRDefault="00C655C6" w:rsidP="00C655C6">
      <w:pPr>
        <w:pStyle w:val="Prrafodelista"/>
        <w:spacing w:after="0" w:line="240" w:lineRule="auto"/>
        <w:jc w:val="both"/>
        <w:rPr>
          <w:rFonts w:ascii="Tahoma" w:eastAsia="Times New Roman" w:hAnsi="Tahoma" w:cs="Tahoma"/>
          <w:kern w:val="0"/>
          <w:lang w:eastAsia="es-ES"/>
          <w14:ligatures w14:val="none"/>
        </w:rPr>
      </w:pPr>
    </w:p>
    <w:p w14:paraId="7F38F72D" w14:textId="77777777" w:rsidR="00C655C6" w:rsidRPr="008F3713" w:rsidRDefault="00C655C6" w:rsidP="00C655C6">
      <w:pPr>
        <w:pStyle w:val="Prrafodelista"/>
        <w:numPr>
          <w:ilvl w:val="0"/>
          <w:numId w:val="183"/>
        </w:numPr>
        <w:spacing w:after="0" w:line="240" w:lineRule="auto"/>
        <w:jc w:val="both"/>
        <w:rPr>
          <w:rFonts w:ascii="Tahoma" w:hAnsi="Tahoma" w:cs="Tahoma"/>
        </w:rPr>
      </w:pPr>
      <w:r w:rsidRPr="008F3713">
        <w:rPr>
          <w:rFonts w:ascii="Tahoma" w:hAnsi="Tahoma" w:cs="Tahoma"/>
        </w:rPr>
        <w:t>23 adultos en el Resguardo Cerrodeo, en Barrancas validaron el bachillerato con FUNDETEC en alianza con la empresa y presentarán en marzo 2025 las pruebas ICFES.</w:t>
      </w:r>
    </w:p>
    <w:p w14:paraId="476F8577" w14:textId="77777777" w:rsidR="00C655C6" w:rsidRPr="008F3713" w:rsidRDefault="00C655C6" w:rsidP="00C655C6">
      <w:pPr>
        <w:pStyle w:val="Prrafodelista"/>
        <w:spacing w:after="0" w:line="240" w:lineRule="auto"/>
        <w:jc w:val="both"/>
        <w:rPr>
          <w:rFonts w:ascii="Tahoma" w:hAnsi="Tahoma" w:cs="Tahoma"/>
        </w:rPr>
      </w:pPr>
    </w:p>
    <w:p w14:paraId="1C5FF37C" w14:textId="77777777" w:rsidR="00C655C6" w:rsidRPr="008F3713" w:rsidRDefault="00C655C6" w:rsidP="00C655C6">
      <w:pPr>
        <w:pStyle w:val="Prrafodelista"/>
        <w:numPr>
          <w:ilvl w:val="0"/>
          <w:numId w:val="183"/>
        </w:numPr>
        <w:spacing w:after="0" w:line="240" w:lineRule="auto"/>
        <w:jc w:val="both"/>
        <w:rPr>
          <w:rFonts w:ascii="Tahoma" w:hAnsi="Tahoma" w:cs="Tahoma"/>
        </w:rPr>
      </w:pPr>
      <w:r w:rsidRPr="008F3713">
        <w:rPr>
          <w:rFonts w:ascii="Tahoma" w:hAnsi="Tahoma" w:cs="Tahoma"/>
        </w:rPr>
        <w:t>36 personas se beneficiaron con el mejoramiento de infraestructura comunitaria en el resguardo indígena Cerroalto lugar de reunión donde se apalancan los procesos organizativos.</w:t>
      </w:r>
    </w:p>
    <w:p w14:paraId="280C99F0"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067A6761"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20DCA9E4"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Programa de Gestión Social Valledupar</w:t>
      </w:r>
    </w:p>
    <w:p w14:paraId="4C6E4567"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Monto Invertido:</w:t>
      </w:r>
      <w:r w:rsidRPr="008F3713">
        <w:rPr>
          <w:rFonts w:ascii="Tahoma" w:eastAsia="Times New Roman" w:hAnsi="Tahoma" w:cs="Tahoma"/>
          <w:kern w:val="0"/>
          <w:lang w:eastAsia="es-ES"/>
          <w14:ligatures w14:val="none"/>
        </w:rPr>
        <w:t xml:space="preserve"> $</w:t>
      </w:r>
      <w:r w:rsidRPr="008F3713">
        <w:rPr>
          <w:rFonts w:ascii="Tahoma" w:hAnsi="Tahoma" w:cs="Tahoma"/>
        </w:rPr>
        <w:t xml:space="preserve"> </w:t>
      </w:r>
      <w:r w:rsidRPr="008F3713">
        <w:rPr>
          <w:rFonts w:ascii="Tahoma" w:eastAsia="Times New Roman" w:hAnsi="Tahoma" w:cs="Tahoma"/>
          <w:kern w:val="0"/>
          <w:lang w:eastAsia="es-ES"/>
          <w14:ligatures w14:val="none"/>
        </w:rPr>
        <w:t>300.000.000 COP</w:t>
      </w:r>
    </w:p>
    <w:p w14:paraId="3D695563"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Personas beneficiadas: 7100</w:t>
      </w:r>
    </w:p>
    <w:p w14:paraId="0CFD900F" w14:textId="77777777" w:rsidR="00C655C6" w:rsidRPr="008F3713" w:rsidRDefault="00C655C6" w:rsidP="00C655C6">
      <w:pPr>
        <w:spacing w:after="0" w:line="240" w:lineRule="auto"/>
        <w:jc w:val="both"/>
        <w:rPr>
          <w:rFonts w:ascii="Tahoma" w:eastAsia="Times New Roman" w:hAnsi="Tahoma" w:cs="Tahoma"/>
          <w:kern w:val="0"/>
          <w:lang w:val="es-MX"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w:t>
      </w:r>
      <w:r w:rsidRPr="008F3713">
        <w:rPr>
          <w:rFonts w:ascii="Tahoma" w:eastAsia="Times New Roman" w:hAnsi="Tahoma" w:cs="Tahoma"/>
          <w:kern w:val="0"/>
          <w:lang w:val="es-MX" w:eastAsia="es-ES"/>
          <w14:ligatures w14:val="none"/>
        </w:rPr>
        <w:t xml:space="preserve">Reducir las invasiones, evitar riesgos eléctricos y lograr la destinación de inmuebles propios a proyectos que contribuyan al desarrollo y/o la sana convivencia. Además, mejorar el relacionamiento con las comunidades aledañas, JAC y autoridades locales. </w:t>
      </w:r>
    </w:p>
    <w:p w14:paraId="768C41C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kern w:val="0"/>
          <w:lang w:eastAsia="es-ES"/>
          <w14:ligatures w14:val="none"/>
        </w:rPr>
        <w:t xml:space="preserve"> </w:t>
      </w:r>
    </w:p>
    <w:p w14:paraId="7DC531B5"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Actividades realizadas</w:t>
      </w:r>
    </w:p>
    <w:p w14:paraId="1110DDAD"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4F14DF22" w14:textId="77777777" w:rsidR="00C655C6" w:rsidRPr="008F3713" w:rsidRDefault="00C655C6" w:rsidP="00C655C6">
      <w:pPr>
        <w:pStyle w:val="Prrafodelista"/>
        <w:numPr>
          <w:ilvl w:val="0"/>
          <w:numId w:val="178"/>
        </w:numPr>
        <w:spacing w:after="0" w:line="390" w:lineRule="atLeast"/>
        <w:jc w:val="both"/>
        <w:rPr>
          <w:rFonts w:ascii="Tahoma" w:hAnsi="Tahoma" w:cs="Tahoma"/>
          <w:color w:val="FFFFFF"/>
        </w:rPr>
      </w:pPr>
      <w:r w:rsidRPr="008F3713">
        <w:rPr>
          <w:rStyle w:val="oypena"/>
          <w:rFonts w:ascii="Tahoma" w:eastAsiaTheme="majorEastAsia" w:hAnsi="Tahoma" w:cs="Tahoma"/>
          <w:b/>
          <w:bCs/>
          <w:color w:val="FFFFFF"/>
        </w:rPr>
        <w:t xml:space="preserve">d Instalada: </w:t>
      </w:r>
    </w:p>
    <w:p w14:paraId="3117244E" w14:textId="77777777" w:rsidR="00FC523D" w:rsidRPr="00FC523D" w:rsidRDefault="00C655C6" w:rsidP="00FC523D">
      <w:pPr>
        <w:pStyle w:val="Prrafodelista"/>
        <w:numPr>
          <w:ilvl w:val="0"/>
          <w:numId w:val="178"/>
        </w:num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kern w:val="0"/>
          <w:lang w:eastAsia="es-ES"/>
          <w14:ligatures w14:val="none"/>
        </w:rPr>
        <w:t xml:space="preserve">Fortalecimiento del relacionamiento llegando a más de 219 miembros de las comunidades y 26 entidades entre públicas y privadas. </w:t>
      </w:r>
    </w:p>
    <w:p w14:paraId="128409AE" w14:textId="77777777" w:rsidR="00FC523D" w:rsidRPr="00FC523D" w:rsidRDefault="00FC523D" w:rsidP="00FC523D">
      <w:pPr>
        <w:pStyle w:val="Prrafodelista"/>
        <w:spacing w:after="0" w:line="240" w:lineRule="auto"/>
        <w:ind w:left="360"/>
        <w:jc w:val="both"/>
        <w:rPr>
          <w:rFonts w:ascii="Tahoma" w:eastAsia="Times New Roman" w:hAnsi="Tahoma" w:cs="Tahoma"/>
          <w:b/>
          <w:bCs/>
          <w:kern w:val="0"/>
          <w:lang w:eastAsia="es-ES"/>
          <w14:ligatures w14:val="none"/>
        </w:rPr>
      </w:pPr>
    </w:p>
    <w:p w14:paraId="003577B1" w14:textId="77777777" w:rsidR="00FC523D" w:rsidRDefault="00C655C6" w:rsidP="00844755">
      <w:pPr>
        <w:pStyle w:val="Prrafodelista"/>
        <w:numPr>
          <w:ilvl w:val="0"/>
          <w:numId w:val="178"/>
        </w:numPr>
        <w:spacing w:after="0" w:line="330" w:lineRule="atLeast"/>
        <w:jc w:val="both"/>
        <w:rPr>
          <w:rFonts w:ascii="Tahoma" w:hAnsi="Tahoma" w:cs="Tahoma"/>
          <w:lang w:val="es-ES" w:eastAsia="es-ES"/>
        </w:rPr>
      </w:pPr>
      <w:r w:rsidRPr="00FC523D">
        <w:rPr>
          <w:rFonts w:ascii="Tahoma" w:hAnsi="Tahoma" w:cs="Tahoma"/>
          <w:lang w:val="es-ES" w:eastAsia="es-ES"/>
        </w:rPr>
        <w:t>En pro de dejar capacidad instalada en los territorios, TRANSELCA capacitó a los presidentes de las Juntas de Acción Comunal (JAC) y a líderes comunitarios de los barrios Villa Maruámake, Galán, Limonar y 7 de abril en procesos integrales que les permitieron desarrollar habilidades de comunicación, liderazgo y trabajo en equipo, potenciando su capacidad de gestión y articulación ante entidades como la Alcaldía y organizaciones privadas.</w:t>
      </w:r>
    </w:p>
    <w:p w14:paraId="1E3D83B1" w14:textId="77777777" w:rsidR="00FC523D" w:rsidRPr="00FC523D" w:rsidRDefault="00FC523D" w:rsidP="00FC523D">
      <w:pPr>
        <w:pStyle w:val="Prrafodelista"/>
        <w:rPr>
          <w:rFonts w:ascii="Tahoma" w:hAnsi="Tahoma" w:cs="Tahoma"/>
          <w:lang w:eastAsia="es-ES"/>
        </w:rPr>
      </w:pPr>
    </w:p>
    <w:p w14:paraId="1070A955" w14:textId="45524532" w:rsidR="00C655C6" w:rsidRPr="00FC523D" w:rsidRDefault="00C655C6" w:rsidP="00844755">
      <w:pPr>
        <w:pStyle w:val="Prrafodelista"/>
        <w:numPr>
          <w:ilvl w:val="0"/>
          <w:numId w:val="178"/>
        </w:numPr>
        <w:spacing w:after="0" w:line="330" w:lineRule="atLeast"/>
        <w:jc w:val="both"/>
        <w:rPr>
          <w:rFonts w:ascii="Tahoma" w:hAnsi="Tahoma" w:cs="Tahoma"/>
          <w:lang w:val="es-ES" w:eastAsia="es-ES"/>
        </w:rPr>
      </w:pPr>
      <w:r w:rsidRPr="00FC523D">
        <w:rPr>
          <w:rFonts w:ascii="Tahoma" w:hAnsi="Tahoma" w:cs="Tahoma"/>
          <w:lang w:eastAsia="es-ES"/>
        </w:rPr>
        <w:t xml:space="preserve">Con el apoyo de </w:t>
      </w:r>
      <w:r w:rsidRPr="00FC523D">
        <w:rPr>
          <w:rFonts w:ascii="Tahoma" w:hAnsi="Tahoma" w:cs="Tahoma"/>
          <w:b/>
          <w:bCs/>
          <w:lang w:eastAsia="es-ES"/>
        </w:rPr>
        <w:t>INDER,</w:t>
      </w:r>
      <w:r w:rsidRPr="00FC523D">
        <w:rPr>
          <w:rFonts w:ascii="Tahoma" w:hAnsi="Tahoma" w:cs="Tahoma"/>
          <w:lang w:eastAsia="es-ES"/>
        </w:rPr>
        <w:t xml:space="preserve"> la empresa y los miembros de la comunidad se realizó el primer torneo de fútbol que integró a los barrios del área de influencia del proyecto. El evento promovió la convivencia, la sana competencia y estilos de vida saludables, fortaleciendo el sentido de pertenencia y destacando talentos locales como parte del Plan de Gestión Social.</w:t>
      </w:r>
    </w:p>
    <w:p w14:paraId="4D1CE670" w14:textId="77777777" w:rsidR="00C655C6" w:rsidRPr="008F3713" w:rsidRDefault="00C655C6" w:rsidP="00C655C6">
      <w:pPr>
        <w:pStyle w:val="Prrafodelista"/>
        <w:rPr>
          <w:rFonts w:ascii="Tahoma" w:hAnsi="Tahoma" w:cs="Tahoma"/>
          <w:lang w:eastAsia="es-ES"/>
        </w:rPr>
      </w:pPr>
    </w:p>
    <w:p w14:paraId="68C1383E" w14:textId="77777777" w:rsidR="00C655C6" w:rsidRPr="008F3713" w:rsidRDefault="00C655C6" w:rsidP="00C655C6">
      <w:pPr>
        <w:pStyle w:val="cvgsua"/>
        <w:numPr>
          <w:ilvl w:val="0"/>
          <w:numId w:val="178"/>
        </w:numPr>
        <w:spacing w:line="330" w:lineRule="atLeast"/>
        <w:jc w:val="both"/>
        <w:rPr>
          <w:rFonts w:ascii="Tahoma" w:hAnsi="Tahoma" w:cs="Tahoma"/>
          <w:lang w:val="es-ES" w:eastAsia="es-ES"/>
        </w:rPr>
      </w:pPr>
      <w:r w:rsidRPr="008F3713">
        <w:rPr>
          <w:rFonts w:ascii="Tahoma" w:hAnsi="Tahoma" w:cs="Tahoma"/>
          <w:lang w:eastAsia="es-ES"/>
        </w:rPr>
        <w:lastRenderedPageBreak/>
        <w:t>En el tercer trimestre de 2024, se inició la construcción de un parque para la comunidad en el barrio Villa Maruamake, con un diseño arquitectónico propio de la cultura vallenata en alianza con Bellas Artes. Estos trabajos proporcionaron un lugar de recreación y encuentro comunitario, fomentando la apropiación y valoración de la cultura vallenata.</w:t>
      </w:r>
    </w:p>
    <w:p w14:paraId="57978F65"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6C64EC9B" w14:textId="77777777" w:rsidR="00C655C6" w:rsidRPr="00FC523D" w:rsidRDefault="00C655C6" w:rsidP="00C655C6">
      <w:pPr>
        <w:spacing w:after="0" w:line="240" w:lineRule="auto"/>
        <w:jc w:val="both"/>
        <w:rPr>
          <w:rFonts w:ascii="Tahoma" w:eastAsia="Times New Roman" w:hAnsi="Tahoma" w:cs="Tahoma"/>
          <w:color w:val="0070C0"/>
          <w:kern w:val="0"/>
          <w:lang w:val="pt-BR" w:eastAsia="es-ES"/>
          <w14:ligatures w14:val="none"/>
        </w:rPr>
      </w:pPr>
      <w:r w:rsidRPr="00FC523D">
        <w:rPr>
          <w:rFonts w:ascii="Tahoma" w:hAnsi="Tahoma" w:cs="Tahoma"/>
          <w:b/>
          <w:bCs/>
          <w:color w:val="0070C0"/>
          <w:lang w:val="pt-BR"/>
        </w:rPr>
        <w:t>Programa: MAS BECAS</w:t>
      </w:r>
    </w:p>
    <w:p w14:paraId="76D5EB1E" w14:textId="77777777" w:rsidR="00C655C6" w:rsidRPr="008F3713" w:rsidRDefault="00C655C6" w:rsidP="00C655C6">
      <w:pPr>
        <w:spacing w:after="0" w:line="240" w:lineRule="auto"/>
        <w:jc w:val="both"/>
        <w:rPr>
          <w:rFonts w:ascii="Tahoma" w:eastAsia="Times New Roman" w:hAnsi="Tahoma" w:cs="Tahoma"/>
          <w:kern w:val="0"/>
          <w:lang w:val="pt-BR" w:eastAsia="es-ES"/>
          <w14:ligatures w14:val="none"/>
        </w:rPr>
      </w:pPr>
      <w:r w:rsidRPr="008F3713">
        <w:rPr>
          <w:rFonts w:ascii="Tahoma" w:eastAsia="Times New Roman" w:hAnsi="Tahoma" w:cs="Tahoma"/>
          <w:b/>
          <w:bCs/>
          <w:kern w:val="0"/>
          <w:lang w:val="pt-BR" w:eastAsia="es-ES"/>
          <w14:ligatures w14:val="none"/>
        </w:rPr>
        <w:t>Monto Invertido:</w:t>
      </w:r>
      <w:r w:rsidRPr="008F3713">
        <w:rPr>
          <w:rFonts w:ascii="Tahoma" w:eastAsia="Times New Roman" w:hAnsi="Tahoma" w:cs="Tahoma"/>
          <w:kern w:val="0"/>
          <w:lang w:val="pt-BR" w:eastAsia="es-ES"/>
          <w14:ligatures w14:val="none"/>
        </w:rPr>
        <w:t xml:space="preserve"> $</w:t>
      </w:r>
      <w:r w:rsidRPr="008F3713">
        <w:rPr>
          <w:rFonts w:ascii="Tahoma" w:hAnsi="Tahoma" w:cs="Tahoma"/>
          <w:lang w:val="pt-BR"/>
        </w:rPr>
        <w:t xml:space="preserve"> </w:t>
      </w:r>
      <w:r w:rsidRPr="008F3713">
        <w:rPr>
          <w:rFonts w:ascii="Tahoma" w:eastAsia="Times New Roman" w:hAnsi="Tahoma" w:cs="Tahoma"/>
          <w:kern w:val="0"/>
          <w:lang w:val="pt-BR" w:eastAsia="es-ES"/>
          <w14:ligatures w14:val="none"/>
        </w:rPr>
        <w:t>95.402.800 COP</w:t>
      </w:r>
    </w:p>
    <w:p w14:paraId="07A9E4FF"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Personas beneficiadas: 4</w:t>
      </w:r>
    </w:p>
    <w:p w14:paraId="1BC2D14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El Programa MAS BECAS está diseñado para apoyar el desarrollo educativo de jóvenes talentosos en la Región Caribe Colombiana</w:t>
      </w:r>
    </w:p>
    <w:p w14:paraId="1BE40F1A"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17241EA8"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Actividades realizadas</w:t>
      </w:r>
    </w:p>
    <w:p w14:paraId="5FB8CE13"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4FC68DD6" w14:textId="77777777" w:rsidR="00C655C6" w:rsidRPr="008F3713" w:rsidRDefault="00C655C6" w:rsidP="00C655C6">
      <w:pPr>
        <w:pStyle w:val="Prrafodelista"/>
        <w:numPr>
          <w:ilvl w:val="0"/>
          <w:numId w:val="179"/>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Se mantuvieron las cuatro becas de los estudiantes sobresalientes que ingresaron al programa de formación en ingeniería eléctrica en la Universidad de Norte.</w:t>
      </w:r>
    </w:p>
    <w:p w14:paraId="0F3C29E8"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1220509F"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hAnsi="Tahoma" w:cs="Tahoma"/>
          <w:b/>
          <w:bCs/>
        </w:rPr>
        <w:t>Programa: Convivencia Pacífica con la Infraestructura de líneas de transmisión</w:t>
      </w:r>
    </w:p>
    <w:p w14:paraId="7CC1A519"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Monto Invertido:</w:t>
      </w:r>
      <w:r w:rsidRPr="008F3713">
        <w:rPr>
          <w:rFonts w:ascii="Tahoma" w:eastAsia="Times New Roman" w:hAnsi="Tahoma" w:cs="Tahoma"/>
          <w:kern w:val="0"/>
          <w:lang w:eastAsia="es-ES"/>
          <w14:ligatures w14:val="none"/>
        </w:rPr>
        <w:t xml:space="preserve"> $</w:t>
      </w:r>
      <w:r w:rsidRPr="008F3713">
        <w:rPr>
          <w:rFonts w:ascii="Tahoma" w:hAnsi="Tahoma" w:cs="Tahoma"/>
        </w:rPr>
        <w:t xml:space="preserve"> </w:t>
      </w:r>
      <w:r w:rsidRPr="008F3713">
        <w:rPr>
          <w:rFonts w:ascii="Tahoma" w:eastAsia="Times New Roman" w:hAnsi="Tahoma" w:cs="Tahoma"/>
          <w:kern w:val="0"/>
          <w:lang w:eastAsia="es-ES"/>
          <w14:ligatures w14:val="none"/>
        </w:rPr>
        <w:t>175.102.175</w:t>
      </w:r>
    </w:p>
    <w:p w14:paraId="2BE798E9"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 xml:space="preserve">Personas beneficiadas: </w:t>
      </w:r>
      <w:r w:rsidRPr="008F3713">
        <w:rPr>
          <w:rFonts w:ascii="Tahoma" w:eastAsia="Times New Roman" w:hAnsi="Tahoma" w:cs="Tahoma"/>
          <w:kern w:val="0"/>
          <w:lang w:eastAsia="es-ES"/>
          <w14:ligatures w14:val="none"/>
        </w:rPr>
        <w:t>348</w:t>
      </w:r>
    </w:p>
    <w:p w14:paraId="6EE1DA9D"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Sensibilizar y educar a la población sobre la importancia de la infraestructura eléctrica para el desarrollo regional, así como en la implementación de medidas de seguridad y protección ambiental. </w:t>
      </w:r>
    </w:p>
    <w:p w14:paraId="698CAD2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54DC5FCD"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Actividades realizadas</w:t>
      </w:r>
    </w:p>
    <w:p w14:paraId="25542E1D"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2979E4EE" w14:textId="77777777" w:rsidR="00C655C6" w:rsidRPr="008F3713" w:rsidRDefault="00C655C6" w:rsidP="00C655C6">
      <w:pPr>
        <w:pStyle w:val="Prrafodelista"/>
        <w:numPr>
          <w:ilvl w:val="0"/>
          <w:numId w:val="179"/>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En Cartagena, en julio, se llevaron a cabo jornadas y visitas a los habitantes del barrio Villa Corelca, donde se explicó el RETIE sobre las áreas de servidumbre. Los asistentes usaron gafas de realidad virtual para visualizar los riesgos asociados al uso indebido de estas áreas, con una participación de 100 personas. </w:t>
      </w:r>
    </w:p>
    <w:p w14:paraId="4450427F"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5613D947" w14:textId="77777777" w:rsidR="00C655C6" w:rsidRPr="008F3713" w:rsidRDefault="00C655C6" w:rsidP="00C655C6">
      <w:pPr>
        <w:pStyle w:val="Prrafodelista"/>
        <w:numPr>
          <w:ilvl w:val="0"/>
          <w:numId w:val="179"/>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En Valledupar, durante la temporada de vientos, 19 estudiantes de 4° de primaria de la Institución Educativa Villa Corelca fueron invitados a elevar cometas con responsabilidad y consciencia, siguiendo recomendaciones para evitar accidentes eléctricos en zonas de servidumbre. </w:t>
      </w:r>
    </w:p>
    <w:p w14:paraId="52835C26" w14:textId="77777777" w:rsidR="00C655C6" w:rsidRPr="008F3713" w:rsidRDefault="00C655C6" w:rsidP="00C655C6">
      <w:pPr>
        <w:pStyle w:val="Prrafodelista"/>
        <w:rPr>
          <w:rFonts w:ascii="Tahoma" w:eastAsia="Times New Roman" w:hAnsi="Tahoma" w:cs="Tahoma"/>
          <w:kern w:val="0"/>
          <w:lang w:eastAsia="es-ES"/>
          <w14:ligatures w14:val="none"/>
        </w:rPr>
      </w:pPr>
    </w:p>
    <w:p w14:paraId="1472F21A" w14:textId="77777777" w:rsidR="00C655C6" w:rsidRPr="008F3713" w:rsidRDefault="00C655C6" w:rsidP="00C655C6">
      <w:pPr>
        <w:pStyle w:val="Prrafodelista"/>
        <w:numPr>
          <w:ilvl w:val="0"/>
          <w:numId w:val="179"/>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Se realizaron talleres y visitas puerta a puerta en Valledupar, llegando a  159 quienes aprendieron sobre la importancia del cuidado de las zonas de servidumbre mediante actividades con gafas simuladoras. </w:t>
      </w:r>
    </w:p>
    <w:p w14:paraId="18BE9030" w14:textId="77777777" w:rsidR="00C655C6" w:rsidRPr="008F3713" w:rsidRDefault="00C655C6" w:rsidP="00C655C6">
      <w:pPr>
        <w:pStyle w:val="Prrafodelista"/>
        <w:rPr>
          <w:rFonts w:ascii="Tahoma" w:eastAsia="Times New Roman" w:hAnsi="Tahoma" w:cs="Tahoma"/>
          <w:kern w:val="0"/>
          <w:lang w:eastAsia="es-ES"/>
          <w14:ligatures w14:val="none"/>
        </w:rPr>
      </w:pPr>
    </w:p>
    <w:p w14:paraId="61AE3284" w14:textId="77777777" w:rsidR="00C655C6" w:rsidRPr="008F3713" w:rsidRDefault="00C655C6" w:rsidP="00C655C6">
      <w:pPr>
        <w:pStyle w:val="Prrafodelista"/>
        <w:numPr>
          <w:ilvl w:val="0"/>
          <w:numId w:val="179"/>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lastRenderedPageBreak/>
        <w:t>En La Guajira, se efectuaron talleres y espacios de aprendizaje con gafas simuladoras en los resguardos El Zahino, Rodeito y Cerrodeo, donde 70 asistentes fueron concientizados sobre los riesgos y cuidados necesarios en las zonas de servidumbre.</w:t>
      </w:r>
    </w:p>
    <w:p w14:paraId="72D4CAD1"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68759E19"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Conexión Desarrollo Cartagena</w:t>
      </w:r>
    </w:p>
    <w:p w14:paraId="033F0DC3"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Monto Invertido:</w:t>
      </w:r>
      <w:r w:rsidRPr="008F3713">
        <w:rPr>
          <w:rFonts w:ascii="Tahoma" w:eastAsia="Times New Roman" w:hAnsi="Tahoma" w:cs="Tahoma"/>
          <w:kern w:val="0"/>
          <w:lang w:eastAsia="es-ES"/>
          <w14:ligatures w14:val="none"/>
        </w:rPr>
        <w:t xml:space="preserve"> $40.000.000</w:t>
      </w:r>
    </w:p>
    <w:p w14:paraId="24FF9BCD"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Personas beneficiadas: 100</w:t>
      </w:r>
    </w:p>
    <w:p w14:paraId="7D08D685"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Fortalecer las capacidades de los habitantes y gestionar sus propios proyectos de manera eficiente y sostenible. Este enfoque integral no solo mejora la infraestructura eléctrica y el suministro confiable, sino que también impulsa el desarrollo económico y social de la región al fomentar el emprendimiento y la productividad.</w:t>
      </w:r>
    </w:p>
    <w:p w14:paraId="571AB55C"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36AC6CCE"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Actividades realizadas</w:t>
      </w:r>
    </w:p>
    <w:p w14:paraId="0FD6E146"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418CE404" w14:textId="77777777" w:rsidR="00C655C6" w:rsidRPr="008F3713" w:rsidRDefault="00C655C6" w:rsidP="00C655C6">
      <w:pPr>
        <w:pStyle w:val="Prrafodelista"/>
        <w:numPr>
          <w:ilvl w:val="0"/>
          <w:numId w:val="180"/>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Se llevaron a cabo talleres formativos con la comunidad del barrio Villa Corelca, así como la formulación de los planes de inversión, gestión de compra y el manejo de los productos a partir de las TICS para potencializaron los proyectos productivos </w:t>
      </w:r>
      <w:r w:rsidRPr="008F3713">
        <w:rPr>
          <w:rFonts w:ascii="Tahoma" w:eastAsia="Times New Roman" w:hAnsi="Tahoma" w:cs="Tahoma"/>
          <w:b/>
          <w:bCs/>
          <w:kern w:val="0"/>
          <w:lang w:eastAsia="es-ES"/>
          <w14:ligatures w14:val="none"/>
        </w:rPr>
        <w:t>Mujeres de Metal, Transformación ALS y Limpia MAS.</w:t>
      </w:r>
    </w:p>
    <w:p w14:paraId="55144006"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04E90677"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"Construcción de Red de Distribución de Agua Potable del Distrito a Etapa 3, Municipio de el Copey, Departamento del Cesar"</w:t>
      </w:r>
    </w:p>
    <w:p w14:paraId="7AA9C65D"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Monto Invertido:</w:t>
      </w:r>
      <w:r w:rsidRPr="008F3713">
        <w:rPr>
          <w:rFonts w:ascii="Tahoma" w:eastAsia="Times New Roman" w:hAnsi="Tahoma" w:cs="Tahoma"/>
          <w:kern w:val="0"/>
          <w:lang w:eastAsia="es-ES"/>
          <w14:ligatures w14:val="none"/>
        </w:rPr>
        <w:t xml:space="preserve"> 15.392 millones donde TRANSELCA aporta el 45% e INTERCOLOMBIA un 55%.</w:t>
      </w:r>
    </w:p>
    <w:p w14:paraId="5E2BD465"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Personas beneficiadas: 4.493</w:t>
      </w:r>
    </w:p>
    <w:p w14:paraId="52801536"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mejorar el acceso al agua potable en la región y con ello la calidad de vida de los habitantes de El Copey.</w:t>
      </w:r>
    </w:p>
    <w:p w14:paraId="16BA8F63"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0E1B897B"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Actividades realizadas</w:t>
      </w:r>
    </w:p>
    <w:p w14:paraId="5175F638"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p>
    <w:p w14:paraId="3573A793" w14:textId="77777777" w:rsidR="00C655C6" w:rsidRPr="008F3713" w:rsidRDefault="00C655C6" w:rsidP="00C655C6">
      <w:pPr>
        <w:pStyle w:val="Prrafodelista"/>
        <w:numPr>
          <w:ilvl w:val="0"/>
          <w:numId w:val="180"/>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Instalación de tuberías PVC y otras conexiones necesarias para asegurar un suministro adecuado y confiable de agua. </w:t>
      </w:r>
    </w:p>
    <w:p w14:paraId="30F07517" w14:textId="77777777" w:rsidR="00C655C6" w:rsidRPr="008F3713" w:rsidRDefault="00C655C6" w:rsidP="00C655C6">
      <w:pPr>
        <w:pStyle w:val="Prrafodelista"/>
        <w:numPr>
          <w:ilvl w:val="0"/>
          <w:numId w:val="180"/>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 xml:space="preserve">Se llevan a cabo trabajos de demolición de pavimentos rígidos, relleno con arena compactada y otros materiales seleccionados para garantizar la estabilidad y durabilidad de la red. </w:t>
      </w:r>
    </w:p>
    <w:p w14:paraId="13C8C029" w14:textId="77777777" w:rsidR="00C655C6" w:rsidRPr="008F3713" w:rsidRDefault="00C655C6" w:rsidP="00C655C6">
      <w:pPr>
        <w:pStyle w:val="Prrafodelista"/>
        <w:numPr>
          <w:ilvl w:val="0"/>
          <w:numId w:val="180"/>
        </w:num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kern w:val="0"/>
          <w:lang w:eastAsia="es-ES"/>
          <w14:ligatures w14:val="none"/>
        </w:rPr>
        <w:t>Reuniones periódicas de socialización con alcaldía y comunidades beneficiadas.</w:t>
      </w:r>
    </w:p>
    <w:p w14:paraId="17809F57" w14:textId="77777777" w:rsidR="00C655C6" w:rsidRPr="008F3713" w:rsidRDefault="00C655C6" w:rsidP="00C655C6">
      <w:pPr>
        <w:pStyle w:val="Prrafodelista"/>
        <w:spacing w:after="0" w:line="240" w:lineRule="auto"/>
        <w:ind w:left="360"/>
        <w:jc w:val="both"/>
        <w:rPr>
          <w:rFonts w:ascii="Tahoma" w:eastAsia="Times New Roman" w:hAnsi="Tahoma" w:cs="Tahoma"/>
          <w:kern w:val="0"/>
          <w:lang w:eastAsia="es-ES"/>
          <w14:ligatures w14:val="none"/>
        </w:rPr>
      </w:pPr>
    </w:p>
    <w:p w14:paraId="3C6D9A28" w14:textId="77777777" w:rsidR="00C655C6" w:rsidRPr="008F3713" w:rsidRDefault="00C655C6" w:rsidP="00C655C6">
      <w:pPr>
        <w:spacing w:after="0" w:line="240" w:lineRule="auto"/>
        <w:jc w:val="both"/>
        <w:rPr>
          <w:rFonts w:ascii="Tahoma" w:hAnsi="Tahoma" w:cs="Tahoma"/>
        </w:rPr>
      </w:pPr>
    </w:p>
    <w:p w14:paraId="53BFCA4B" w14:textId="77777777" w:rsidR="00C655C6" w:rsidRPr="00FC523D" w:rsidRDefault="00C655C6" w:rsidP="00C655C6">
      <w:pPr>
        <w:spacing w:after="0" w:line="240" w:lineRule="auto"/>
        <w:jc w:val="both"/>
        <w:rPr>
          <w:rFonts w:ascii="Tahoma" w:eastAsia="Times New Roman" w:hAnsi="Tahoma" w:cs="Tahoma"/>
          <w:color w:val="0070C0"/>
          <w:kern w:val="0"/>
          <w:lang w:eastAsia="es-ES"/>
          <w14:ligatures w14:val="none"/>
        </w:rPr>
      </w:pPr>
      <w:r w:rsidRPr="00FC523D">
        <w:rPr>
          <w:rFonts w:ascii="Tahoma" w:hAnsi="Tahoma" w:cs="Tahoma"/>
          <w:b/>
          <w:bCs/>
          <w:color w:val="0070C0"/>
        </w:rPr>
        <w:t>Programa: Energización Rural en La Victoria</w:t>
      </w:r>
    </w:p>
    <w:p w14:paraId="7FC0904F"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Personas beneficiadas: 209</w:t>
      </w:r>
    </w:p>
    <w:p w14:paraId="196D2A93"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r w:rsidRPr="008F3713">
        <w:rPr>
          <w:rFonts w:ascii="Tahoma" w:eastAsia="Times New Roman" w:hAnsi="Tahoma" w:cs="Tahoma"/>
          <w:b/>
          <w:bCs/>
          <w:kern w:val="0"/>
          <w:lang w:eastAsia="es-ES"/>
          <w14:ligatures w14:val="none"/>
        </w:rPr>
        <w:t>Objetivo:</w:t>
      </w:r>
      <w:r w:rsidRPr="008F3713">
        <w:rPr>
          <w:rFonts w:ascii="Tahoma" w:eastAsia="Times New Roman" w:hAnsi="Tahoma" w:cs="Tahoma"/>
          <w:kern w:val="0"/>
          <w:lang w:eastAsia="es-ES"/>
          <w14:ligatures w14:val="none"/>
        </w:rPr>
        <w:t xml:space="preserve"> </w:t>
      </w:r>
      <w:r w:rsidRPr="008F3713">
        <w:rPr>
          <w:rFonts w:ascii="Tahoma" w:hAnsi="Tahoma" w:cs="Tahoma"/>
        </w:rPr>
        <w:t xml:space="preserve">ISA y sus empresas en compañía de Ecopetrol y Sun Colombia buscan promover la transición energética a través del uso de energía solar para mejorar las </w:t>
      </w:r>
      <w:r w:rsidRPr="008F3713">
        <w:rPr>
          <w:rFonts w:ascii="Tahoma" w:hAnsi="Tahoma" w:cs="Tahoma"/>
        </w:rPr>
        <w:lastRenderedPageBreak/>
        <w:t>condiciones de vida de las comunidades, proporcionando acceso a iluminación, refrigeración y tecnologías de información.</w:t>
      </w:r>
    </w:p>
    <w:p w14:paraId="0C071742" w14:textId="77777777" w:rsidR="00C655C6" w:rsidRPr="008F3713" w:rsidRDefault="00C655C6" w:rsidP="00C655C6">
      <w:pPr>
        <w:spacing w:after="0" w:line="240" w:lineRule="auto"/>
        <w:jc w:val="both"/>
        <w:rPr>
          <w:rFonts w:ascii="Tahoma" w:eastAsia="Times New Roman" w:hAnsi="Tahoma" w:cs="Tahoma"/>
          <w:b/>
          <w:bCs/>
          <w:kern w:val="0"/>
          <w:lang w:eastAsia="es-ES"/>
          <w14:ligatures w14:val="none"/>
        </w:rPr>
      </w:pPr>
    </w:p>
    <w:p w14:paraId="0713E7E4" w14:textId="77777777" w:rsidR="00C655C6" w:rsidRPr="008F3713" w:rsidRDefault="00C655C6" w:rsidP="00C655C6">
      <w:pPr>
        <w:spacing w:after="0" w:line="240" w:lineRule="auto"/>
        <w:jc w:val="both"/>
        <w:rPr>
          <w:rFonts w:ascii="Tahoma" w:eastAsia="Times New Roman" w:hAnsi="Tahoma" w:cs="Tahoma"/>
          <w:kern w:val="0"/>
          <w:lang w:eastAsia="es-ES"/>
          <w14:ligatures w14:val="none"/>
        </w:rPr>
      </w:pPr>
      <w:r w:rsidRPr="008F3713">
        <w:rPr>
          <w:rFonts w:ascii="Tahoma" w:eastAsia="Times New Roman" w:hAnsi="Tahoma" w:cs="Tahoma"/>
          <w:b/>
          <w:bCs/>
          <w:kern w:val="0"/>
          <w:lang w:eastAsia="es-ES"/>
          <w14:ligatures w14:val="none"/>
        </w:rPr>
        <w:t>Actividades realizadas</w:t>
      </w:r>
    </w:p>
    <w:p w14:paraId="21B3D00D" w14:textId="77777777" w:rsidR="00C655C6" w:rsidRPr="008F3713" w:rsidRDefault="00C655C6" w:rsidP="00C655C6">
      <w:pPr>
        <w:spacing w:after="0" w:line="240" w:lineRule="auto"/>
        <w:jc w:val="both"/>
        <w:rPr>
          <w:rFonts w:ascii="Tahoma" w:hAnsi="Tahoma" w:cs="Tahoma"/>
        </w:rPr>
      </w:pPr>
    </w:p>
    <w:p w14:paraId="0A413B5F" w14:textId="77777777" w:rsidR="00C655C6" w:rsidRPr="008F3713" w:rsidRDefault="00C655C6" w:rsidP="00C655C6">
      <w:pPr>
        <w:pStyle w:val="Prrafodelista"/>
        <w:numPr>
          <w:ilvl w:val="0"/>
          <w:numId w:val="181"/>
        </w:numPr>
        <w:spacing w:after="0" w:line="240" w:lineRule="auto"/>
        <w:jc w:val="both"/>
        <w:rPr>
          <w:rFonts w:ascii="Tahoma" w:hAnsi="Tahoma" w:cs="Tahoma"/>
        </w:rPr>
      </w:pPr>
      <w:r w:rsidRPr="008F3713">
        <w:rPr>
          <w:rFonts w:ascii="Tahoma" w:hAnsi="Tahoma" w:cs="Tahoma"/>
        </w:rPr>
        <w:t>Entrega del primer proyecto bajo el programa Energía Renovable para la Paz, ubicado en El Copey, César.</w:t>
      </w:r>
    </w:p>
    <w:p w14:paraId="038F6B48" w14:textId="77777777" w:rsidR="00C655C6" w:rsidRPr="008F3713" w:rsidRDefault="00C655C6" w:rsidP="00C655C6">
      <w:pPr>
        <w:pStyle w:val="Prrafodelista"/>
        <w:numPr>
          <w:ilvl w:val="0"/>
          <w:numId w:val="181"/>
        </w:numPr>
        <w:spacing w:after="0" w:line="240" w:lineRule="auto"/>
        <w:jc w:val="both"/>
        <w:rPr>
          <w:rFonts w:ascii="Tahoma" w:hAnsi="Tahoma" w:cs="Tahoma"/>
        </w:rPr>
      </w:pPr>
      <w:r w:rsidRPr="008F3713">
        <w:rPr>
          <w:rFonts w:ascii="Tahoma" w:hAnsi="Tahoma" w:cs="Tahoma"/>
        </w:rPr>
        <w:t xml:space="preserve">Acompañamiento para el fortalecimiento de proyectos productivos. </w:t>
      </w:r>
    </w:p>
    <w:p w14:paraId="30134C60" w14:textId="77777777" w:rsidR="00C655C6" w:rsidRPr="008F3713" w:rsidRDefault="00C655C6" w:rsidP="00C655C6">
      <w:pPr>
        <w:pStyle w:val="Prrafodelista"/>
        <w:spacing w:after="0" w:line="240" w:lineRule="auto"/>
        <w:jc w:val="both"/>
        <w:rPr>
          <w:rFonts w:ascii="Tahoma" w:hAnsi="Tahoma" w:cs="Tahoma"/>
        </w:rPr>
      </w:pPr>
    </w:p>
    <w:p w14:paraId="6F65C096" w14:textId="77777777" w:rsidR="00C655C6" w:rsidRPr="008F3713" w:rsidRDefault="00C655C6" w:rsidP="00C655C6">
      <w:pPr>
        <w:spacing w:after="0" w:line="240" w:lineRule="auto"/>
        <w:jc w:val="both"/>
        <w:rPr>
          <w:rFonts w:ascii="Tahoma" w:hAnsi="Tahoma" w:cs="Tahoma"/>
        </w:rPr>
      </w:pPr>
    </w:p>
    <w:p w14:paraId="2D9A1FCC" w14:textId="77777777" w:rsidR="00C655C6" w:rsidRPr="008F3713" w:rsidRDefault="00C655C6" w:rsidP="00C655C6">
      <w:pPr>
        <w:spacing w:after="0" w:line="240" w:lineRule="auto"/>
        <w:jc w:val="both"/>
        <w:rPr>
          <w:rFonts w:ascii="Tahoma" w:hAnsi="Tahoma" w:cs="Tahoma"/>
        </w:rPr>
      </w:pPr>
    </w:p>
    <w:p w14:paraId="0CC29EC4"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Número de municipios críticos con gestión social</w:t>
      </w:r>
    </w:p>
    <w:p w14:paraId="21518DE3" w14:textId="77777777" w:rsidR="00C655C6" w:rsidRPr="008F3713" w:rsidRDefault="00C655C6" w:rsidP="00C655C6">
      <w:pPr>
        <w:spacing w:after="0" w:line="240" w:lineRule="auto"/>
        <w:jc w:val="both"/>
        <w:rPr>
          <w:rFonts w:ascii="Tahoma" w:hAnsi="Tahoma" w:cs="Tahoma"/>
          <w:b/>
          <w:bCs/>
        </w:rPr>
      </w:pPr>
    </w:p>
    <w:tbl>
      <w:tblPr>
        <w:tblW w:w="7554" w:type="dxa"/>
        <w:tblCellMar>
          <w:left w:w="70" w:type="dxa"/>
          <w:right w:w="70" w:type="dxa"/>
        </w:tblCellMar>
        <w:tblLook w:val="04A0" w:firstRow="1" w:lastRow="0" w:firstColumn="1" w:lastColumn="0" w:noHBand="0" w:noVBand="1"/>
      </w:tblPr>
      <w:tblGrid>
        <w:gridCol w:w="5098"/>
        <w:gridCol w:w="803"/>
        <w:gridCol w:w="803"/>
        <w:gridCol w:w="850"/>
      </w:tblGrid>
      <w:tr w:rsidR="00FC523D" w:rsidRPr="008F3713" w14:paraId="777206D6" w14:textId="77777777" w:rsidTr="00FC523D">
        <w:trPr>
          <w:trHeight w:val="845"/>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CF848" w14:textId="77777777" w:rsidR="00FC523D" w:rsidRPr="008F3713" w:rsidRDefault="00FC523D"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Número de municipios críticos con gestión social</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14:paraId="67D33061" w14:textId="77777777" w:rsidR="00FC523D" w:rsidRPr="008F3713" w:rsidRDefault="00FC523D"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2022</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14:paraId="2BF3EC41" w14:textId="77777777" w:rsidR="00FC523D" w:rsidRPr="008F3713" w:rsidRDefault="00FC523D"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2023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7BB4C7C" w14:textId="77777777" w:rsidR="00FC523D" w:rsidRPr="008F3713" w:rsidRDefault="00FC523D"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2024</w:t>
            </w:r>
          </w:p>
        </w:tc>
      </w:tr>
      <w:tr w:rsidR="00FC523D" w:rsidRPr="008F3713" w14:paraId="17A95047" w14:textId="77777777" w:rsidTr="00FC523D">
        <w:trPr>
          <w:trHeight w:val="376"/>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14:paraId="6C7D3F1E" w14:textId="77777777" w:rsidR="00FC523D" w:rsidRPr="008F3713" w:rsidRDefault="00FC523D"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municipios, comunidades o comunas en las que tiene presencia la empresa</w:t>
            </w:r>
          </w:p>
        </w:tc>
        <w:tc>
          <w:tcPr>
            <w:tcW w:w="803" w:type="dxa"/>
            <w:tcBorders>
              <w:top w:val="nil"/>
              <w:left w:val="nil"/>
              <w:bottom w:val="single" w:sz="4" w:space="0" w:color="auto"/>
              <w:right w:val="single" w:sz="4" w:space="0" w:color="auto"/>
            </w:tcBorders>
            <w:shd w:val="clear" w:color="auto" w:fill="auto"/>
            <w:noWrap/>
            <w:vAlign w:val="center"/>
            <w:hideMark/>
          </w:tcPr>
          <w:p w14:paraId="2EE8DF29"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34</w:t>
            </w:r>
          </w:p>
        </w:tc>
        <w:tc>
          <w:tcPr>
            <w:tcW w:w="803" w:type="dxa"/>
            <w:tcBorders>
              <w:top w:val="nil"/>
              <w:left w:val="nil"/>
              <w:bottom w:val="single" w:sz="4" w:space="0" w:color="auto"/>
              <w:right w:val="single" w:sz="4" w:space="0" w:color="auto"/>
            </w:tcBorders>
            <w:shd w:val="clear" w:color="auto" w:fill="auto"/>
            <w:noWrap/>
            <w:vAlign w:val="center"/>
            <w:hideMark/>
          </w:tcPr>
          <w:p w14:paraId="36C5F8F8"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34</w:t>
            </w:r>
          </w:p>
        </w:tc>
        <w:tc>
          <w:tcPr>
            <w:tcW w:w="850" w:type="dxa"/>
            <w:tcBorders>
              <w:top w:val="nil"/>
              <w:left w:val="nil"/>
              <w:bottom w:val="single" w:sz="4" w:space="0" w:color="auto"/>
              <w:right w:val="single" w:sz="4" w:space="0" w:color="auto"/>
            </w:tcBorders>
            <w:shd w:val="clear" w:color="auto" w:fill="auto"/>
            <w:noWrap/>
            <w:vAlign w:val="center"/>
            <w:hideMark/>
          </w:tcPr>
          <w:p w14:paraId="63ED0A19"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34</w:t>
            </w:r>
          </w:p>
        </w:tc>
      </w:tr>
      <w:tr w:rsidR="00FC523D" w:rsidRPr="008F3713" w14:paraId="2DEF7550" w14:textId="77777777" w:rsidTr="00FC523D">
        <w:trPr>
          <w:trHeight w:val="695"/>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14:paraId="55797C8C" w14:textId="77777777" w:rsidR="00FC523D" w:rsidRPr="008F3713" w:rsidRDefault="00FC523D"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municipios, comunidades o comunas en los que realizó proyectos sociales durante el año medido</w:t>
            </w:r>
          </w:p>
        </w:tc>
        <w:tc>
          <w:tcPr>
            <w:tcW w:w="803" w:type="dxa"/>
            <w:tcBorders>
              <w:top w:val="nil"/>
              <w:left w:val="nil"/>
              <w:bottom w:val="single" w:sz="4" w:space="0" w:color="auto"/>
              <w:right w:val="single" w:sz="4" w:space="0" w:color="auto"/>
            </w:tcBorders>
            <w:shd w:val="clear" w:color="auto" w:fill="auto"/>
            <w:noWrap/>
            <w:vAlign w:val="center"/>
            <w:hideMark/>
          </w:tcPr>
          <w:p w14:paraId="4EFD0BFF"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03" w:type="dxa"/>
            <w:tcBorders>
              <w:top w:val="nil"/>
              <w:left w:val="nil"/>
              <w:bottom w:val="single" w:sz="4" w:space="0" w:color="auto"/>
              <w:right w:val="single" w:sz="4" w:space="0" w:color="auto"/>
            </w:tcBorders>
            <w:shd w:val="clear" w:color="auto" w:fill="auto"/>
            <w:noWrap/>
            <w:vAlign w:val="center"/>
            <w:hideMark/>
          </w:tcPr>
          <w:p w14:paraId="5CC22188"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50" w:type="dxa"/>
            <w:tcBorders>
              <w:top w:val="nil"/>
              <w:left w:val="nil"/>
              <w:bottom w:val="single" w:sz="4" w:space="0" w:color="auto"/>
              <w:right w:val="single" w:sz="4" w:space="0" w:color="auto"/>
            </w:tcBorders>
            <w:shd w:val="clear" w:color="auto" w:fill="auto"/>
            <w:noWrap/>
            <w:vAlign w:val="center"/>
            <w:hideMark/>
          </w:tcPr>
          <w:p w14:paraId="1E8D4DD4"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r>
      <w:tr w:rsidR="00FC523D" w:rsidRPr="008F3713" w14:paraId="1803C56E" w14:textId="77777777" w:rsidTr="00FC523D">
        <w:trPr>
          <w:trHeight w:val="650"/>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14:paraId="567459D9" w14:textId="77777777" w:rsidR="00FC523D" w:rsidRPr="008F3713" w:rsidRDefault="00FC523D"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municipios, comunidades o comunas que son considerados críticos</w:t>
            </w:r>
          </w:p>
        </w:tc>
        <w:tc>
          <w:tcPr>
            <w:tcW w:w="803" w:type="dxa"/>
            <w:tcBorders>
              <w:top w:val="nil"/>
              <w:left w:val="nil"/>
              <w:bottom w:val="single" w:sz="4" w:space="0" w:color="auto"/>
              <w:right w:val="single" w:sz="4" w:space="0" w:color="auto"/>
            </w:tcBorders>
            <w:shd w:val="clear" w:color="auto" w:fill="auto"/>
            <w:noWrap/>
            <w:vAlign w:val="center"/>
            <w:hideMark/>
          </w:tcPr>
          <w:p w14:paraId="6792DD66"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03" w:type="dxa"/>
            <w:tcBorders>
              <w:top w:val="nil"/>
              <w:left w:val="nil"/>
              <w:bottom w:val="single" w:sz="4" w:space="0" w:color="auto"/>
              <w:right w:val="single" w:sz="4" w:space="0" w:color="auto"/>
            </w:tcBorders>
            <w:shd w:val="clear" w:color="auto" w:fill="auto"/>
            <w:noWrap/>
            <w:vAlign w:val="center"/>
            <w:hideMark/>
          </w:tcPr>
          <w:p w14:paraId="08449063"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50" w:type="dxa"/>
            <w:tcBorders>
              <w:top w:val="nil"/>
              <w:left w:val="nil"/>
              <w:bottom w:val="single" w:sz="4" w:space="0" w:color="auto"/>
              <w:right w:val="single" w:sz="4" w:space="0" w:color="auto"/>
            </w:tcBorders>
            <w:shd w:val="clear" w:color="auto" w:fill="auto"/>
            <w:noWrap/>
            <w:vAlign w:val="center"/>
            <w:hideMark/>
          </w:tcPr>
          <w:p w14:paraId="4963E2E2"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r>
      <w:tr w:rsidR="00FC523D" w:rsidRPr="008F3713" w14:paraId="7271FEFC" w14:textId="77777777" w:rsidTr="00FC523D">
        <w:trPr>
          <w:trHeight w:val="971"/>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14:paraId="63B9D1D1" w14:textId="77777777" w:rsidR="00FC523D" w:rsidRPr="008F3713" w:rsidRDefault="00FC523D"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municipios, comunidades o comunas que son considerados críticos en los que realizó proyectos sociales durante el año medido</w:t>
            </w:r>
          </w:p>
        </w:tc>
        <w:tc>
          <w:tcPr>
            <w:tcW w:w="803" w:type="dxa"/>
            <w:tcBorders>
              <w:top w:val="nil"/>
              <w:left w:val="nil"/>
              <w:bottom w:val="single" w:sz="4" w:space="0" w:color="auto"/>
              <w:right w:val="single" w:sz="4" w:space="0" w:color="auto"/>
            </w:tcBorders>
            <w:shd w:val="clear" w:color="auto" w:fill="auto"/>
            <w:noWrap/>
            <w:vAlign w:val="center"/>
            <w:hideMark/>
          </w:tcPr>
          <w:p w14:paraId="791F4B71"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03" w:type="dxa"/>
            <w:tcBorders>
              <w:top w:val="nil"/>
              <w:left w:val="nil"/>
              <w:bottom w:val="single" w:sz="4" w:space="0" w:color="auto"/>
              <w:right w:val="single" w:sz="4" w:space="0" w:color="auto"/>
            </w:tcBorders>
            <w:shd w:val="clear" w:color="auto" w:fill="auto"/>
            <w:noWrap/>
            <w:vAlign w:val="center"/>
            <w:hideMark/>
          </w:tcPr>
          <w:p w14:paraId="409E2CD4"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c>
          <w:tcPr>
            <w:tcW w:w="850" w:type="dxa"/>
            <w:tcBorders>
              <w:top w:val="nil"/>
              <w:left w:val="nil"/>
              <w:bottom w:val="single" w:sz="4" w:space="0" w:color="auto"/>
              <w:right w:val="single" w:sz="4" w:space="0" w:color="auto"/>
            </w:tcBorders>
            <w:shd w:val="clear" w:color="auto" w:fill="auto"/>
            <w:noWrap/>
            <w:vAlign w:val="center"/>
            <w:hideMark/>
          </w:tcPr>
          <w:p w14:paraId="0F2AA7BF" w14:textId="77777777" w:rsidR="00FC523D" w:rsidRPr="008F3713" w:rsidRDefault="00FC523D" w:rsidP="00FC523D">
            <w:pPr>
              <w:spacing w:after="0" w:line="240" w:lineRule="auto"/>
              <w:jc w:val="right"/>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13</w:t>
            </w:r>
          </w:p>
        </w:tc>
      </w:tr>
    </w:tbl>
    <w:p w14:paraId="1A4FF705" w14:textId="77777777" w:rsidR="00C655C6" w:rsidRPr="008F3713" w:rsidRDefault="00C655C6" w:rsidP="00C655C6">
      <w:pPr>
        <w:spacing w:after="0" w:line="240" w:lineRule="auto"/>
        <w:jc w:val="both"/>
        <w:rPr>
          <w:rFonts w:ascii="Tahoma" w:hAnsi="Tahoma" w:cs="Tahoma"/>
        </w:rPr>
      </w:pPr>
    </w:p>
    <w:p w14:paraId="08C43CD5"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GRI 2-6</w:t>
      </w:r>
    </w:p>
    <w:p w14:paraId="6B5E6BD4" w14:textId="77777777" w:rsidR="00C655C6" w:rsidRPr="008F3713" w:rsidRDefault="00C655C6" w:rsidP="00C655C6">
      <w:pPr>
        <w:spacing w:after="0" w:line="240" w:lineRule="auto"/>
        <w:jc w:val="both"/>
        <w:rPr>
          <w:rFonts w:ascii="Tahoma" w:hAnsi="Tahoma" w:cs="Tahoma"/>
          <w:b/>
          <w:bCs/>
        </w:rPr>
      </w:pPr>
    </w:p>
    <w:p w14:paraId="205B838D" w14:textId="77777777" w:rsidR="00C655C6" w:rsidRPr="008F3713" w:rsidRDefault="00C655C6" w:rsidP="00C655C6">
      <w:pPr>
        <w:spacing w:after="0" w:line="240" w:lineRule="auto"/>
        <w:jc w:val="both"/>
        <w:rPr>
          <w:rFonts w:ascii="Tahoma" w:hAnsi="Tahoma" w:cs="Tahoma"/>
          <w:b/>
          <w:bCs/>
        </w:rPr>
      </w:pPr>
    </w:p>
    <w:p w14:paraId="71D28279"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Programa de voluntariado</w:t>
      </w:r>
    </w:p>
    <w:p w14:paraId="33E45C63" w14:textId="77777777" w:rsidR="00C655C6" w:rsidRPr="008F3713" w:rsidRDefault="00C655C6" w:rsidP="00C655C6">
      <w:pPr>
        <w:spacing w:after="0" w:line="240" w:lineRule="auto"/>
        <w:jc w:val="both"/>
        <w:rPr>
          <w:rFonts w:ascii="Tahoma" w:hAnsi="Tahoma" w:cs="Tahoma"/>
        </w:rPr>
      </w:pPr>
    </w:p>
    <w:p w14:paraId="5AB90254" w14:textId="77777777" w:rsidR="00C655C6" w:rsidRPr="008F3713" w:rsidRDefault="00C655C6" w:rsidP="00C655C6">
      <w:pPr>
        <w:spacing w:after="0" w:line="240" w:lineRule="auto"/>
        <w:jc w:val="both"/>
        <w:rPr>
          <w:rFonts w:ascii="Tahoma" w:hAnsi="Tahoma" w:cs="Tahoma"/>
        </w:rPr>
      </w:pPr>
      <w:r w:rsidRPr="008F3713">
        <w:rPr>
          <w:rFonts w:ascii="Tahoma" w:hAnsi="Tahoma" w:cs="Tahoma"/>
        </w:rPr>
        <w:t>TRANSELCA reafirmó su compromiso con la responsabilidad social en 2024 mediante 4 iniciativas de voluntariado que incentivaron a los trabajadores a convertirse en agentes de cambio, aportando sus conocimientos y su mano de obra, impactando positivamente a las comunidades y al medio ambiente.</w:t>
      </w:r>
    </w:p>
    <w:p w14:paraId="069B2B7B" w14:textId="0447B59E" w:rsidR="00C655C6" w:rsidRPr="008F3713" w:rsidRDefault="00FC523D" w:rsidP="00C655C6">
      <w:pPr>
        <w:spacing w:after="0" w:line="240" w:lineRule="auto"/>
        <w:jc w:val="both"/>
        <w:rPr>
          <w:rFonts w:ascii="Tahoma" w:hAnsi="Tahoma" w:cs="Tahoma"/>
        </w:rPr>
      </w:pPr>
      <w:r w:rsidRPr="008F3713">
        <w:rPr>
          <w:rFonts w:ascii="Tahoma" w:hAnsi="Tahoma" w:cs="Tahoma"/>
          <w:noProof/>
        </w:rPr>
        <w:lastRenderedPageBreak/>
        <w:drawing>
          <wp:inline distT="0" distB="0" distL="0" distR="0" wp14:anchorId="4E0F2791" wp14:editId="2ABB8FC4">
            <wp:extent cx="5588000" cy="1803746"/>
            <wp:effectExtent l="0" t="0" r="0" b="6350"/>
            <wp:docPr id="339244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44515" name=""/>
                    <pic:cNvPicPr/>
                  </pic:nvPicPr>
                  <pic:blipFill>
                    <a:blip r:embed="rId41"/>
                    <a:stretch>
                      <a:fillRect/>
                    </a:stretch>
                  </pic:blipFill>
                  <pic:spPr>
                    <a:xfrm>
                      <a:off x="0" y="0"/>
                      <a:ext cx="5610886" cy="1811133"/>
                    </a:xfrm>
                    <a:prstGeom prst="rect">
                      <a:avLst/>
                    </a:prstGeom>
                  </pic:spPr>
                </pic:pic>
              </a:graphicData>
            </a:graphic>
          </wp:inline>
        </w:drawing>
      </w:r>
    </w:p>
    <w:p w14:paraId="09DFD4CB" w14:textId="4A856037" w:rsidR="00C655C6" w:rsidRPr="008F3713" w:rsidRDefault="00C655C6" w:rsidP="00C655C6">
      <w:pPr>
        <w:spacing w:after="0" w:line="240" w:lineRule="auto"/>
        <w:jc w:val="both"/>
        <w:rPr>
          <w:rFonts w:ascii="Tahoma" w:hAnsi="Tahoma" w:cs="Tahoma"/>
        </w:rPr>
      </w:pPr>
    </w:p>
    <w:p w14:paraId="44784939"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r w:rsidRPr="008F3713">
        <w:rPr>
          <w:rFonts w:ascii="Tahoma" w:eastAsia="Times New Roman" w:hAnsi="Tahoma" w:cs="Tahoma"/>
          <w:b/>
          <w:bCs/>
          <w:kern w:val="0"/>
          <w:sz w:val="22"/>
          <w:szCs w:val="22"/>
          <w:lang w:eastAsia="es-ES"/>
          <w14:ligatures w14:val="none"/>
        </w:rPr>
        <w:t>Voluntariado de habilidades: Diseño y planos estructurales de dos Aulas educativas</w:t>
      </w:r>
    </w:p>
    <w:p w14:paraId="559DE247"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p>
    <w:p w14:paraId="24FE9E14"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Los ingenieros Lizette Paola Mejía Hurtado y Fabián Mauricio Jerez Flórez, de TRANSELCA, lideraron los diseños estructurales de dos aulas educativas en la Escuela Yaguarito, ubicada en el Resguardo de Rodeíto El Pozo.</w:t>
      </w:r>
    </w:p>
    <w:p w14:paraId="57032866"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2F31C7AB"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Los voluntarios tradujeron los sueños, anhelos e ideas de la comunidad para diseñar las aulas educativas que beneficiaron a 80 estudiantes en la Escuela Yaguarito, del Resguardo de Rodeíto El Pozo.</w:t>
      </w:r>
    </w:p>
    <w:p w14:paraId="23C5B334"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7278A1B0"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Este voluntariado comenzó el 20 de abril de 2024 y concluyó con la entrega del proyecto el 20 de septiembre de 2024.</w:t>
      </w:r>
    </w:p>
    <w:p w14:paraId="18DFC7F0"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b/>
          <w:bCs/>
          <w:noProof/>
          <w:kern w:val="0"/>
          <w:sz w:val="22"/>
          <w:szCs w:val="22"/>
          <w:lang w:eastAsia="es-ES"/>
          <w14:ligatures w14:val="none"/>
        </w:rPr>
        <w:drawing>
          <wp:anchor distT="0" distB="0" distL="114300" distR="114300" simplePos="0" relativeHeight="251694080" behindDoc="1" locked="0" layoutInCell="1" allowOverlap="1" wp14:anchorId="0262543C" wp14:editId="11464101">
            <wp:simplePos x="0" y="0"/>
            <wp:positionH relativeFrom="margin">
              <wp:posOffset>-356235</wp:posOffset>
            </wp:positionH>
            <wp:positionV relativeFrom="paragraph">
              <wp:posOffset>267970</wp:posOffset>
            </wp:positionV>
            <wp:extent cx="2289175" cy="1976120"/>
            <wp:effectExtent l="0" t="0" r="0" b="5080"/>
            <wp:wrapTight wrapText="bothSides">
              <wp:wrapPolygon edited="0">
                <wp:start x="0" y="0"/>
                <wp:lineTo x="0" y="21447"/>
                <wp:lineTo x="21390" y="21447"/>
                <wp:lineTo x="21390" y="0"/>
                <wp:lineTo x="0" y="0"/>
              </wp:wrapPolygon>
            </wp:wrapTight>
            <wp:docPr id="5191393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39387" name=""/>
                    <pic:cNvPicPr/>
                  </pic:nvPicPr>
                  <pic:blipFill rotWithShape="1">
                    <a:blip r:embed="rId42">
                      <a:extLst>
                        <a:ext uri="{28A0092B-C50C-407E-A947-70E740481C1C}">
                          <a14:useLocalDpi xmlns:a14="http://schemas.microsoft.com/office/drawing/2010/main" val="0"/>
                        </a:ext>
                      </a:extLst>
                    </a:blip>
                    <a:srcRect l="11428"/>
                    <a:stretch/>
                  </pic:blipFill>
                  <pic:spPr bwMode="auto">
                    <a:xfrm>
                      <a:off x="0" y="0"/>
                      <a:ext cx="2289175" cy="1976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3713">
        <w:rPr>
          <w:rFonts w:ascii="Tahoma" w:eastAsia="Times New Roman" w:hAnsi="Tahoma" w:cs="Tahoma"/>
          <w:b/>
          <w:bCs/>
          <w:noProof/>
          <w:kern w:val="0"/>
          <w:sz w:val="22"/>
          <w:szCs w:val="22"/>
          <w:lang w:eastAsia="es-ES"/>
        </w:rPr>
        <w:drawing>
          <wp:anchor distT="0" distB="0" distL="114300" distR="114300" simplePos="0" relativeHeight="251696128" behindDoc="1" locked="0" layoutInCell="1" allowOverlap="1" wp14:anchorId="4F386BDD" wp14:editId="428EE1BA">
            <wp:simplePos x="0" y="0"/>
            <wp:positionH relativeFrom="page">
              <wp:posOffset>5318125</wp:posOffset>
            </wp:positionH>
            <wp:positionV relativeFrom="paragraph">
              <wp:posOffset>236220</wp:posOffset>
            </wp:positionV>
            <wp:extent cx="1960880" cy="2074545"/>
            <wp:effectExtent l="317" t="0" r="1588" b="1587"/>
            <wp:wrapTight wrapText="bothSides">
              <wp:wrapPolygon edited="0">
                <wp:start x="3" y="21603"/>
                <wp:lineTo x="21408" y="21603"/>
                <wp:lineTo x="21408" y="182"/>
                <wp:lineTo x="4" y="182"/>
                <wp:lineTo x="3" y="21603"/>
              </wp:wrapPolygon>
            </wp:wrapTight>
            <wp:docPr id="15226791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79165" name="Imagen 1522679165"/>
                    <pic:cNvPicPr/>
                  </pic:nvPicPr>
                  <pic:blipFill rotWithShape="1">
                    <a:blip r:embed="rId43" cstate="print">
                      <a:extLst>
                        <a:ext uri="{28A0092B-C50C-407E-A947-70E740481C1C}">
                          <a14:useLocalDpi xmlns:a14="http://schemas.microsoft.com/office/drawing/2010/main" val="0"/>
                        </a:ext>
                      </a:extLst>
                    </a:blip>
                    <a:srcRect l="16806" t="9602" r="19099"/>
                    <a:stretch/>
                  </pic:blipFill>
                  <pic:spPr bwMode="auto">
                    <a:xfrm rot="5400000">
                      <a:off x="0" y="0"/>
                      <a:ext cx="196088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3713">
        <w:rPr>
          <w:rFonts w:ascii="Tahoma" w:eastAsia="Times New Roman" w:hAnsi="Tahoma" w:cs="Tahoma"/>
          <w:noProof/>
          <w:kern w:val="0"/>
          <w:sz w:val="22"/>
          <w:szCs w:val="22"/>
          <w:lang w:eastAsia="es-ES"/>
        </w:rPr>
        <w:drawing>
          <wp:anchor distT="0" distB="0" distL="114300" distR="114300" simplePos="0" relativeHeight="251695104" behindDoc="1" locked="0" layoutInCell="1" allowOverlap="1" wp14:anchorId="7E767608" wp14:editId="219B0C77">
            <wp:simplePos x="0" y="0"/>
            <wp:positionH relativeFrom="column">
              <wp:posOffset>2066290</wp:posOffset>
            </wp:positionH>
            <wp:positionV relativeFrom="paragraph">
              <wp:posOffset>189230</wp:posOffset>
            </wp:positionV>
            <wp:extent cx="1983105" cy="2167255"/>
            <wp:effectExtent l="3175" t="0" r="1270" b="1270"/>
            <wp:wrapTight wrapText="bothSides">
              <wp:wrapPolygon edited="0">
                <wp:start x="35" y="21632"/>
                <wp:lineTo x="21406" y="21632"/>
                <wp:lineTo x="21406" y="177"/>
                <wp:lineTo x="35" y="177"/>
                <wp:lineTo x="35" y="21632"/>
              </wp:wrapPolygon>
            </wp:wrapTight>
            <wp:docPr id="13999200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20055" name="Imagen 1399920055"/>
                    <pic:cNvPicPr/>
                  </pic:nvPicPr>
                  <pic:blipFill rotWithShape="1">
                    <a:blip r:embed="rId44" cstate="print">
                      <a:extLst>
                        <a:ext uri="{28A0092B-C50C-407E-A947-70E740481C1C}">
                          <a14:useLocalDpi xmlns:a14="http://schemas.microsoft.com/office/drawing/2010/main" val="0"/>
                        </a:ext>
                      </a:extLst>
                    </a:blip>
                    <a:srcRect l="23791" r="7574"/>
                    <a:stretch/>
                  </pic:blipFill>
                  <pic:spPr bwMode="auto">
                    <a:xfrm rot="5400000">
                      <a:off x="0" y="0"/>
                      <a:ext cx="1983105" cy="2167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060459"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06A003ED"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r w:rsidRPr="008F3713">
        <w:rPr>
          <w:rFonts w:ascii="Tahoma" w:eastAsia="Times New Roman" w:hAnsi="Tahoma" w:cs="Tahoma"/>
          <w:b/>
          <w:bCs/>
          <w:kern w:val="0"/>
          <w:sz w:val="22"/>
          <w:szCs w:val="22"/>
          <w:lang w:eastAsia="es-ES"/>
          <w14:ligatures w14:val="none"/>
        </w:rPr>
        <w:t>Manos a la Ciénaga</w:t>
      </w:r>
    </w:p>
    <w:p w14:paraId="43C33FBD"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p>
    <w:p w14:paraId="347108AF"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Los voluntarios trabajaron en la siembra de mangles en la Ciénaga de Mallorquín, con el propósito de contribuir a la recuperación de ecosistemas costeros y mejorando la biodiversidad. Teniendo en cuenta que los mangles plantados actúan como barreras naturales contra la erosión, protegiendo las costas y reduciendo el impacto de fenómenos climáticos extremos.</w:t>
      </w:r>
    </w:p>
    <w:p w14:paraId="6F66DEF0"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58839453"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La actividad se realizó el 27 de abril y buscó sensibilizar a los participantes y a la comunidad sobre la importancia de conservar los manglares y otros recursos naturales, reforzando el compromiso de TRANSELCA con la sostenibilidad y la responsabilidad social.</w:t>
      </w:r>
    </w:p>
    <w:p w14:paraId="4ADE06CC"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p>
    <w:p w14:paraId="42B7A75C"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r w:rsidRPr="008F3713">
        <w:rPr>
          <w:rFonts w:ascii="Tahoma" w:eastAsia="Times New Roman" w:hAnsi="Tahoma" w:cs="Tahoma"/>
          <w:b/>
          <w:bCs/>
          <w:kern w:val="0"/>
          <w:sz w:val="22"/>
          <w:szCs w:val="22"/>
          <w:lang w:eastAsia="es-ES"/>
          <w14:ligatures w14:val="none"/>
        </w:rPr>
        <w:t>Voluntariado Limpieza de Playas - Punta Roca</w:t>
      </w:r>
    </w:p>
    <w:p w14:paraId="1A9C59CD"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7B2DDE18"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En esta actividad, participaron 32 voluntarios de nuestra organización, durante la jornada se recogieron 435 bolsas de residuos, que luego fueron clasificados respectivamente. Esta actividad, contribuyó a la preservación del ecosistema marino y la limpieza del entorno costero. Además, se promovieron prácticas de responsabilidad ambiental y destacó la relevancia de la conservación de los recursos naturales. Se realizó el 25 de mayo.</w:t>
      </w:r>
    </w:p>
    <w:p w14:paraId="29AE29A5"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19805A36" w14:textId="77777777" w:rsidR="00C655C6" w:rsidRPr="008F3713" w:rsidRDefault="00C655C6" w:rsidP="00C655C6">
      <w:pPr>
        <w:spacing w:after="0" w:line="240" w:lineRule="auto"/>
        <w:jc w:val="both"/>
        <w:rPr>
          <w:rFonts w:ascii="Tahoma" w:eastAsia="Times New Roman" w:hAnsi="Tahoma" w:cs="Tahoma"/>
          <w:b/>
          <w:bCs/>
          <w:kern w:val="0"/>
          <w:sz w:val="22"/>
          <w:szCs w:val="22"/>
          <w:lang w:eastAsia="es-ES"/>
          <w14:ligatures w14:val="none"/>
        </w:rPr>
      </w:pPr>
      <w:r w:rsidRPr="008F3713">
        <w:rPr>
          <w:rFonts w:ascii="Tahoma" w:eastAsia="Times New Roman" w:hAnsi="Tahoma" w:cs="Tahoma"/>
          <w:b/>
          <w:bCs/>
          <w:kern w:val="0"/>
          <w:sz w:val="22"/>
          <w:szCs w:val="22"/>
          <w:lang w:eastAsia="es-ES"/>
          <w14:ligatures w14:val="none"/>
        </w:rPr>
        <w:t>Adecuación parque</w:t>
      </w:r>
    </w:p>
    <w:p w14:paraId="6C119717" w14:textId="77777777" w:rsidR="00C655C6" w:rsidRPr="008F3713" w:rsidRDefault="00C655C6" w:rsidP="00C655C6">
      <w:pPr>
        <w:spacing w:after="0" w:line="240" w:lineRule="auto"/>
        <w:jc w:val="both"/>
        <w:rPr>
          <w:rFonts w:ascii="Tahoma" w:eastAsia="Times New Roman" w:hAnsi="Tahoma" w:cs="Tahoma"/>
          <w:kern w:val="0"/>
          <w:sz w:val="22"/>
          <w:szCs w:val="22"/>
          <w:lang w:eastAsia="es-ES"/>
          <w14:ligatures w14:val="none"/>
        </w:rPr>
      </w:pPr>
    </w:p>
    <w:p w14:paraId="79DE4683" w14:textId="77777777" w:rsidR="00C655C6" w:rsidRPr="008F3713" w:rsidRDefault="00C655C6" w:rsidP="00C655C6">
      <w:pPr>
        <w:spacing w:after="0" w:line="240" w:lineRule="auto"/>
        <w:jc w:val="both"/>
        <w:rPr>
          <w:rFonts w:ascii="Tahoma" w:hAnsi="Tahoma" w:cs="Tahoma"/>
          <w:b/>
          <w:bCs/>
        </w:rPr>
      </w:pPr>
      <w:r w:rsidRPr="008F3713">
        <w:rPr>
          <w:rFonts w:ascii="Tahoma" w:eastAsia="Times New Roman" w:hAnsi="Tahoma" w:cs="Tahoma"/>
          <w:kern w:val="0"/>
          <w:sz w:val="22"/>
          <w:szCs w:val="22"/>
          <w:lang w:eastAsia="es-ES"/>
          <w14:ligatures w14:val="none"/>
        </w:rPr>
        <w:t>Se realizaron diversas mejoras, incluyendo la adecuación de las bancas y la pintura de un mural, entre otras acciones en el parque en el Barrio Santa Inés, en Soledad. Estas acciones no solo transformaron el parque en un lugar más agradable y seguro para los residentes, sino que también fomentaron un sentido de comunidad y colaboración entre los vecinos.</w:t>
      </w:r>
    </w:p>
    <w:p w14:paraId="5F4404DA" w14:textId="77777777" w:rsidR="00C655C6" w:rsidRPr="008F3713" w:rsidRDefault="00C655C6" w:rsidP="00C655C6">
      <w:pPr>
        <w:spacing w:after="0" w:line="240" w:lineRule="auto"/>
        <w:jc w:val="both"/>
        <w:rPr>
          <w:rFonts w:ascii="Tahoma" w:hAnsi="Tahoma" w:cs="Tahoma"/>
        </w:rPr>
      </w:pPr>
    </w:p>
    <w:p w14:paraId="4F7B0360" w14:textId="77777777" w:rsidR="00C655C6" w:rsidRPr="008F3713" w:rsidRDefault="00C655C6" w:rsidP="00C655C6">
      <w:pPr>
        <w:spacing w:after="0" w:line="240" w:lineRule="auto"/>
        <w:jc w:val="both"/>
        <w:rPr>
          <w:rFonts w:ascii="Tahoma" w:hAnsi="Tahoma" w:cs="Tahoma"/>
        </w:rPr>
      </w:pPr>
    </w:p>
    <w:p w14:paraId="3D3D4E18"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GRI 413-1</w:t>
      </w:r>
    </w:p>
    <w:p w14:paraId="73E9CED9" w14:textId="77777777" w:rsidR="00C655C6" w:rsidRPr="008F3713" w:rsidRDefault="00C655C6" w:rsidP="00C655C6">
      <w:pPr>
        <w:spacing w:after="0" w:line="240" w:lineRule="auto"/>
        <w:jc w:val="both"/>
        <w:rPr>
          <w:rFonts w:ascii="Tahoma" w:hAnsi="Tahoma" w:cs="Tahoma"/>
          <w:b/>
          <w:bCs/>
        </w:rPr>
      </w:pPr>
    </w:p>
    <w:tbl>
      <w:tblPr>
        <w:tblW w:w="8828" w:type="dxa"/>
        <w:tblCellMar>
          <w:left w:w="70" w:type="dxa"/>
          <w:right w:w="70" w:type="dxa"/>
        </w:tblCellMar>
        <w:tblLook w:val="04A0" w:firstRow="1" w:lastRow="0" w:firstColumn="1" w:lastColumn="0" w:noHBand="0" w:noVBand="1"/>
      </w:tblPr>
      <w:tblGrid>
        <w:gridCol w:w="6628"/>
        <w:gridCol w:w="2200"/>
      </w:tblGrid>
      <w:tr w:rsidR="00C655C6" w:rsidRPr="008F3713" w14:paraId="555AEF3E" w14:textId="77777777" w:rsidTr="002F67B3">
        <w:trPr>
          <w:trHeight w:val="330"/>
        </w:trPr>
        <w:tc>
          <w:tcPr>
            <w:tcW w:w="66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15CC1" w14:textId="77777777" w:rsidR="00C655C6" w:rsidRPr="008F3713" w:rsidRDefault="00C655C6"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País</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0E40571F" w14:textId="77777777" w:rsidR="00C655C6" w:rsidRPr="008F3713" w:rsidRDefault="00C655C6" w:rsidP="002F67B3">
            <w:pPr>
              <w:spacing w:after="0" w:line="240" w:lineRule="auto"/>
              <w:jc w:val="both"/>
              <w:rPr>
                <w:rFonts w:ascii="Tahoma" w:eastAsia="Times New Roman" w:hAnsi="Tahoma" w:cs="Tahoma"/>
                <w:b/>
                <w:bCs/>
                <w:kern w:val="0"/>
                <w:sz w:val="26"/>
                <w:szCs w:val="26"/>
                <w:lang w:eastAsia="es-ES"/>
                <w14:ligatures w14:val="none"/>
              </w:rPr>
            </w:pPr>
            <w:r w:rsidRPr="008F3713">
              <w:rPr>
                <w:rFonts w:ascii="Tahoma" w:eastAsia="Times New Roman" w:hAnsi="Tahoma" w:cs="Tahoma"/>
                <w:b/>
                <w:bCs/>
                <w:kern w:val="0"/>
                <w:sz w:val="26"/>
                <w:szCs w:val="26"/>
                <w:lang w:eastAsia="es-ES"/>
                <w14:ligatures w14:val="none"/>
              </w:rPr>
              <w:t>Dato</w:t>
            </w:r>
          </w:p>
        </w:tc>
      </w:tr>
      <w:tr w:rsidR="00C655C6" w:rsidRPr="008F3713" w14:paraId="0A43DA21"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1C98F318"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empleados voluntarios</w:t>
            </w:r>
          </w:p>
        </w:tc>
        <w:tc>
          <w:tcPr>
            <w:tcW w:w="2200" w:type="dxa"/>
            <w:tcBorders>
              <w:top w:val="nil"/>
              <w:left w:val="nil"/>
              <w:bottom w:val="single" w:sz="4" w:space="0" w:color="auto"/>
              <w:right w:val="single" w:sz="4" w:space="0" w:color="auto"/>
            </w:tcBorders>
            <w:shd w:val="clear" w:color="auto" w:fill="auto"/>
            <w:noWrap/>
            <w:vAlign w:val="center"/>
            <w:hideMark/>
          </w:tcPr>
          <w:p w14:paraId="32B2A3D4"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56</w:t>
            </w:r>
          </w:p>
        </w:tc>
      </w:tr>
      <w:tr w:rsidR="00C655C6" w:rsidRPr="008F3713" w14:paraId="4C125C6F"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6813DCDB"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invitados voluntarios</w:t>
            </w:r>
          </w:p>
        </w:tc>
        <w:tc>
          <w:tcPr>
            <w:tcW w:w="2200" w:type="dxa"/>
            <w:tcBorders>
              <w:top w:val="nil"/>
              <w:left w:val="nil"/>
              <w:bottom w:val="single" w:sz="4" w:space="0" w:color="auto"/>
              <w:right w:val="single" w:sz="4" w:space="0" w:color="auto"/>
            </w:tcBorders>
            <w:shd w:val="clear" w:color="auto" w:fill="auto"/>
            <w:noWrap/>
            <w:vAlign w:val="center"/>
            <w:hideMark/>
          </w:tcPr>
          <w:p w14:paraId="5D0CB897"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6</w:t>
            </w:r>
          </w:p>
        </w:tc>
      </w:tr>
      <w:tr w:rsidR="00C655C6" w:rsidRPr="008F3713" w14:paraId="509AA383"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7770F785"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Monto invertido por la compañía (logística, materiales, bebidas, snacks, etc.)</w:t>
            </w:r>
          </w:p>
        </w:tc>
        <w:tc>
          <w:tcPr>
            <w:tcW w:w="2200" w:type="dxa"/>
            <w:tcBorders>
              <w:top w:val="nil"/>
              <w:left w:val="nil"/>
              <w:bottom w:val="single" w:sz="4" w:space="0" w:color="auto"/>
              <w:right w:val="single" w:sz="4" w:space="0" w:color="auto"/>
            </w:tcBorders>
            <w:shd w:val="clear" w:color="auto" w:fill="auto"/>
            <w:noWrap/>
            <w:vAlign w:val="center"/>
            <w:hideMark/>
          </w:tcPr>
          <w:p w14:paraId="43D4AA6B"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$40.011.996</w:t>
            </w:r>
          </w:p>
        </w:tc>
      </w:tr>
      <w:tr w:rsidR="00C655C6" w:rsidRPr="008F3713" w14:paraId="4F1D9FE9"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577FADDB"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personas beneficiadas en las comunidades</w:t>
            </w:r>
          </w:p>
        </w:tc>
        <w:tc>
          <w:tcPr>
            <w:tcW w:w="2200" w:type="dxa"/>
            <w:tcBorders>
              <w:top w:val="nil"/>
              <w:left w:val="nil"/>
              <w:bottom w:val="single" w:sz="4" w:space="0" w:color="auto"/>
              <w:right w:val="single" w:sz="4" w:space="0" w:color="auto"/>
            </w:tcBorders>
            <w:shd w:val="clear" w:color="auto" w:fill="auto"/>
            <w:noWrap/>
            <w:vAlign w:val="center"/>
            <w:hideMark/>
          </w:tcPr>
          <w:p w14:paraId="583D9F85"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500</w:t>
            </w:r>
          </w:p>
        </w:tc>
      </w:tr>
      <w:tr w:rsidR="00C655C6" w:rsidRPr="008F3713" w14:paraId="1A02FB8D"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3E8C8B61"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horas laborales invertidas por cada empleado</w:t>
            </w:r>
          </w:p>
        </w:tc>
        <w:tc>
          <w:tcPr>
            <w:tcW w:w="2200" w:type="dxa"/>
            <w:tcBorders>
              <w:top w:val="nil"/>
              <w:left w:val="nil"/>
              <w:bottom w:val="single" w:sz="4" w:space="0" w:color="auto"/>
              <w:right w:val="single" w:sz="4" w:space="0" w:color="auto"/>
            </w:tcBorders>
            <w:shd w:val="clear" w:color="auto" w:fill="auto"/>
            <w:noWrap/>
            <w:vAlign w:val="center"/>
            <w:hideMark/>
          </w:tcPr>
          <w:p w14:paraId="30CBEAFF"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2</w:t>
            </w:r>
          </w:p>
        </w:tc>
      </w:tr>
      <w:tr w:rsidR="00C655C6" w:rsidRPr="008F3713" w14:paraId="40020A03"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7F790B90"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horas personales invertidas por cada empleado</w:t>
            </w:r>
          </w:p>
        </w:tc>
        <w:tc>
          <w:tcPr>
            <w:tcW w:w="2200" w:type="dxa"/>
            <w:tcBorders>
              <w:top w:val="nil"/>
              <w:left w:val="nil"/>
              <w:bottom w:val="single" w:sz="4" w:space="0" w:color="auto"/>
              <w:right w:val="single" w:sz="4" w:space="0" w:color="auto"/>
            </w:tcBorders>
            <w:shd w:val="clear" w:color="auto" w:fill="auto"/>
            <w:noWrap/>
            <w:vAlign w:val="center"/>
            <w:hideMark/>
          </w:tcPr>
          <w:p w14:paraId="61BD8E1E"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6</w:t>
            </w:r>
          </w:p>
        </w:tc>
      </w:tr>
      <w:tr w:rsidR="00C655C6" w:rsidRPr="008F3713" w14:paraId="6B039719"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2946EB42"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de horas invertidas por cada invitado (no empleado) participante</w:t>
            </w:r>
          </w:p>
        </w:tc>
        <w:tc>
          <w:tcPr>
            <w:tcW w:w="2200" w:type="dxa"/>
            <w:tcBorders>
              <w:top w:val="nil"/>
              <w:left w:val="nil"/>
              <w:bottom w:val="single" w:sz="4" w:space="0" w:color="auto"/>
              <w:right w:val="single" w:sz="4" w:space="0" w:color="auto"/>
            </w:tcBorders>
            <w:shd w:val="clear" w:color="auto" w:fill="auto"/>
            <w:noWrap/>
            <w:vAlign w:val="center"/>
            <w:hideMark/>
          </w:tcPr>
          <w:p w14:paraId="20BC1879"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6</w:t>
            </w:r>
          </w:p>
        </w:tc>
      </w:tr>
      <w:tr w:rsidR="00C655C6" w:rsidRPr="008F3713" w14:paraId="23B200CC"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03C87C51"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total de horas laborales invertidas = horas laborales invertidas por cada empleado x Número de empleados voluntarios</w:t>
            </w:r>
          </w:p>
        </w:tc>
        <w:tc>
          <w:tcPr>
            <w:tcW w:w="2200" w:type="dxa"/>
            <w:tcBorders>
              <w:top w:val="nil"/>
              <w:left w:val="nil"/>
              <w:bottom w:val="single" w:sz="4" w:space="0" w:color="auto"/>
              <w:right w:val="single" w:sz="4" w:space="0" w:color="auto"/>
            </w:tcBorders>
            <w:shd w:val="clear" w:color="auto" w:fill="auto"/>
            <w:noWrap/>
            <w:vAlign w:val="center"/>
            <w:hideMark/>
          </w:tcPr>
          <w:p w14:paraId="3D55E7FF"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112</w:t>
            </w:r>
          </w:p>
        </w:tc>
      </w:tr>
      <w:tr w:rsidR="00C655C6" w:rsidRPr="008F3713" w14:paraId="7CD6B360"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7ED55FCE"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total de horas personales invertidas = horas personales invertidas por cada empleado x Número de empleados voluntarios</w:t>
            </w:r>
          </w:p>
        </w:tc>
        <w:tc>
          <w:tcPr>
            <w:tcW w:w="2200" w:type="dxa"/>
            <w:tcBorders>
              <w:top w:val="nil"/>
              <w:left w:val="nil"/>
              <w:bottom w:val="single" w:sz="4" w:space="0" w:color="auto"/>
              <w:right w:val="single" w:sz="4" w:space="0" w:color="auto"/>
            </w:tcBorders>
            <w:shd w:val="clear" w:color="auto" w:fill="auto"/>
            <w:noWrap/>
            <w:vAlign w:val="center"/>
            <w:hideMark/>
          </w:tcPr>
          <w:p w14:paraId="5AC96FE6" w14:textId="77777777" w:rsidR="00C655C6" w:rsidRPr="008F3713" w:rsidRDefault="00C655C6" w:rsidP="006A6C2D">
            <w:pPr>
              <w:spacing w:after="0" w:line="240" w:lineRule="auto"/>
              <w:jc w:val="center"/>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336</w:t>
            </w:r>
          </w:p>
        </w:tc>
      </w:tr>
      <w:tr w:rsidR="00C655C6" w:rsidRPr="008F3713" w14:paraId="45B0C1DE"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53AC6E7F"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Número total de horas invertidas por invitados= horas invertidas por cada invitado x Número de invitados voluntarios</w:t>
            </w:r>
          </w:p>
        </w:tc>
        <w:tc>
          <w:tcPr>
            <w:tcW w:w="2200" w:type="dxa"/>
            <w:tcBorders>
              <w:top w:val="nil"/>
              <w:left w:val="nil"/>
              <w:bottom w:val="single" w:sz="4" w:space="0" w:color="auto"/>
              <w:right w:val="single" w:sz="4" w:space="0" w:color="auto"/>
            </w:tcBorders>
            <w:shd w:val="clear" w:color="auto" w:fill="auto"/>
            <w:noWrap/>
            <w:vAlign w:val="center"/>
            <w:hideMark/>
          </w:tcPr>
          <w:p w14:paraId="1917EB76" w14:textId="77777777" w:rsidR="00C655C6" w:rsidRPr="008F3713" w:rsidRDefault="00C655C6" w:rsidP="002F67B3">
            <w:pPr>
              <w:spacing w:after="0" w:line="240" w:lineRule="auto"/>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36</w:t>
            </w:r>
          </w:p>
        </w:tc>
      </w:tr>
      <w:tr w:rsidR="00C655C6" w:rsidRPr="008F3713" w14:paraId="5C4BF3BD" w14:textId="77777777" w:rsidTr="002F67B3">
        <w:trPr>
          <w:trHeight w:val="285"/>
        </w:trPr>
        <w:tc>
          <w:tcPr>
            <w:tcW w:w="6628" w:type="dxa"/>
            <w:tcBorders>
              <w:top w:val="nil"/>
              <w:left w:val="single" w:sz="4" w:space="0" w:color="auto"/>
              <w:bottom w:val="single" w:sz="4" w:space="0" w:color="auto"/>
              <w:right w:val="single" w:sz="4" w:space="0" w:color="auto"/>
            </w:tcBorders>
            <w:shd w:val="clear" w:color="auto" w:fill="auto"/>
            <w:noWrap/>
            <w:vAlign w:val="center"/>
            <w:hideMark/>
          </w:tcPr>
          <w:p w14:paraId="290A3DBD" w14:textId="77777777" w:rsidR="00C655C6" w:rsidRPr="008F3713" w:rsidRDefault="00C655C6" w:rsidP="002F67B3">
            <w:pPr>
              <w:spacing w:after="0" w:line="240" w:lineRule="auto"/>
              <w:jc w:val="both"/>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Porcentaje de voluntarios (calculado sobre el total de empleados)</w:t>
            </w:r>
          </w:p>
        </w:tc>
        <w:tc>
          <w:tcPr>
            <w:tcW w:w="2200" w:type="dxa"/>
            <w:tcBorders>
              <w:top w:val="nil"/>
              <w:left w:val="nil"/>
              <w:bottom w:val="single" w:sz="4" w:space="0" w:color="auto"/>
              <w:right w:val="single" w:sz="4" w:space="0" w:color="auto"/>
            </w:tcBorders>
            <w:shd w:val="clear" w:color="auto" w:fill="auto"/>
            <w:noWrap/>
            <w:vAlign w:val="center"/>
            <w:hideMark/>
          </w:tcPr>
          <w:p w14:paraId="08EF3835" w14:textId="77777777" w:rsidR="00C655C6" w:rsidRPr="008F3713" w:rsidRDefault="00C655C6" w:rsidP="002F67B3">
            <w:pPr>
              <w:spacing w:after="0" w:line="240" w:lineRule="auto"/>
              <w:rPr>
                <w:rFonts w:ascii="Tahoma" w:eastAsia="Times New Roman" w:hAnsi="Tahoma" w:cs="Tahoma"/>
                <w:kern w:val="0"/>
                <w:sz w:val="22"/>
                <w:szCs w:val="22"/>
                <w:lang w:eastAsia="es-ES"/>
                <w14:ligatures w14:val="none"/>
              </w:rPr>
            </w:pPr>
            <w:r w:rsidRPr="008F3713">
              <w:rPr>
                <w:rFonts w:ascii="Tahoma" w:eastAsia="Times New Roman" w:hAnsi="Tahoma" w:cs="Tahoma"/>
                <w:kern w:val="0"/>
                <w:sz w:val="22"/>
                <w:szCs w:val="22"/>
                <w:lang w:eastAsia="es-ES"/>
                <w14:ligatures w14:val="none"/>
              </w:rPr>
              <w:t>25,69</w:t>
            </w:r>
          </w:p>
        </w:tc>
      </w:tr>
    </w:tbl>
    <w:p w14:paraId="68D2731F" w14:textId="77777777" w:rsidR="00C655C6" w:rsidRPr="008F3713" w:rsidRDefault="00C655C6" w:rsidP="00C655C6">
      <w:pPr>
        <w:spacing w:after="0" w:line="240" w:lineRule="auto"/>
        <w:jc w:val="both"/>
        <w:rPr>
          <w:rFonts w:ascii="Tahoma" w:hAnsi="Tahoma" w:cs="Tahoma"/>
          <w:b/>
          <w:bCs/>
        </w:rPr>
      </w:pPr>
      <w:r w:rsidRPr="008F3713">
        <w:rPr>
          <w:rFonts w:ascii="Tahoma" w:hAnsi="Tahoma" w:cs="Tahoma"/>
          <w:b/>
          <w:bCs/>
        </w:rPr>
        <w:t>GRI 413-1</w:t>
      </w:r>
    </w:p>
    <w:p w14:paraId="6C9767D1" w14:textId="77777777" w:rsidR="00C655C6" w:rsidRPr="008F3713" w:rsidRDefault="00C655C6" w:rsidP="00C655C6">
      <w:pPr>
        <w:spacing w:after="0" w:line="240" w:lineRule="auto"/>
        <w:jc w:val="both"/>
        <w:rPr>
          <w:rFonts w:ascii="Tahoma" w:hAnsi="Tahoma" w:cs="Tahoma"/>
          <w:b/>
          <w:bCs/>
        </w:rPr>
      </w:pPr>
    </w:p>
    <w:p w14:paraId="24D1F65C" w14:textId="34D50AD0" w:rsidR="0031711E" w:rsidRPr="008F3713" w:rsidRDefault="0031711E">
      <w:pPr>
        <w:rPr>
          <w:rFonts w:ascii="Tahoma" w:hAnsi="Tahoma" w:cs="Tahoma"/>
          <w:sz w:val="52"/>
          <w:szCs w:val="52"/>
          <w:lang w:val="es-ES"/>
        </w:rPr>
      </w:pPr>
    </w:p>
    <w:p w14:paraId="243F7E13" w14:textId="77777777" w:rsidR="00E05B53" w:rsidRPr="008F3713" w:rsidRDefault="00492BD5" w:rsidP="00E05B53">
      <w:pPr>
        <w:rPr>
          <w:rFonts w:ascii="Tahoma" w:eastAsia="Aptos" w:hAnsi="Tahoma" w:cs="Tahoma"/>
          <w:kern w:val="0"/>
          <w:lang w:val="es-ES" w:eastAsia="es-CO"/>
          <w14:ligatures w14:val="none"/>
        </w:rPr>
      </w:pPr>
      <w:bookmarkStart w:id="13" w:name="ASUNTOSMATERIALESAMBIENTALES"/>
      <w:r w:rsidRPr="008F3713">
        <w:rPr>
          <w:rFonts w:ascii="Tahoma" w:hAnsi="Tahoma" w:cs="Tahoma"/>
          <w:noProof/>
          <w:sz w:val="52"/>
          <w:szCs w:val="52"/>
          <w:lang w:val="es-ES"/>
        </w:rPr>
        <w:lastRenderedPageBreak/>
        <w:drawing>
          <wp:inline distT="0" distB="0" distL="0" distR="0" wp14:anchorId="2D51B052" wp14:editId="3D1A251B">
            <wp:extent cx="5612130" cy="7262495"/>
            <wp:effectExtent l="0" t="0" r="1270" b="1905"/>
            <wp:docPr id="14826219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21988" name="Imagen 148262198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13"/>
    </w:p>
    <w:p w14:paraId="0C80C264" w14:textId="77777777" w:rsidR="00E05B53" w:rsidRPr="008F3713" w:rsidRDefault="00E05B53" w:rsidP="00E05B53">
      <w:pPr>
        <w:tabs>
          <w:tab w:val="left" w:pos="1290"/>
        </w:tabs>
        <w:jc w:val="both"/>
        <w:rPr>
          <w:rFonts w:ascii="Tahoma" w:eastAsia="Tahoma" w:hAnsi="Tahoma" w:cs="Tahoma"/>
          <w:b/>
          <w:iCs/>
          <w:kern w:val="0"/>
          <w:sz w:val="32"/>
          <w:szCs w:val="32"/>
          <w:lang w:val="es-ES" w:eastAsia="es-CO"/>
          <w14:ligatures w14:val="none"/>
        </w:rPr>
      </w:pPr>
    </w:p>
    <w:p w14:paraId="4EED311A" w14:textId="20E3C3ED" w:rsidR="00D73106" w:rsidRPr="008F3713" w:rsidRDefault="00D73106" w:rsidP="00E05B53">
      <w:pPr>
        <w:tabs>
          <w:tab w:val="left" w:pos="1290"/>
        </w:tabs>
        <w:jc w:val="both"/>
        <w:rPr>
          <w:rFonts w:ascii="Tahoma" w:eastAsia="Tahoma" w:hAnsi="Tahoma" w:cs="Tahoma"/>
          <w:b/>
          <w:i/>
          <w:kern w:val="0"/>
          <w:sz w:val="40"/>
          <w:szCs w:val="40"/>
          <w:lang w:val="es-ES" w:eastAsia="es-CO"/>
          <w14:ligatures w14:val="none"/>
        </w:rPr>
      </w:pPr>
      <w:r w:rsidRPr="008F3713">
        <w:rPr>
          <w:rFonts w:ascii="Tahoma" w:eastAsia="Tahoma" w:hAnsi="Tahoma" w:cs="Tahoma"/>
          <w:b/>
          <w:i/>
          <w:kern w:val="0"/>
          <w:sz w:val="40"/>
          <w:szCs w:val="40"/>
          <w:lang w:val="es-ES" w:eastAsia="es-CO"/>
          <w14:ligatures w14:val="none"/>
        </w:rPr>
        <w:lastRenderedPageBreak/>
        <w:t>ASUNTOS MATERIALES AMBIENTALES</w:t>
      </w:r>
    </w:p>
    <w:p w14:paraId="32D45C7F" w14:textId="48931DDB" w:rsidR="00E05B53" w:rsidRPr="008F3713" w:rsidRDefault="00E05B53" w:rsidP="006A6C2D">
      <w:pPr>
        <w:tabs>
          <w:tab w:val="left" w:pos="1290"/>
        </w:tabs>
        <w:rPr>
          <w:rFonts w:ascii="Tahoma" w:eastAsia="Tahoma" w:hAnsi="Tahoma" w:cs="Tahoma"/>
          <w:b/>
          <w:iCs/>
          <w:color w:val="0070C0"/>
          <w:kern w:val="0"/>
          <w:sz w:val="36"/>
          <w:szCs w:val="36"/>
          <w:lang w:val="es-ES" w:eastAsia="es-CO"/>
          <w14:ligatures w14:val="none"/>
        </w:rPr>
      </w:pPr>
      <w:r w:rsidRPr="008F3713">
        <w:rPr>
          <w:rFonts w:ascii="Tahoma" w:eastAsia="Tahoma" w:hAnsi="Tahoma" w:cs="Tahoma"/>
          <w:b/>
          <w:iCs/>
          <w:color w:val="0070C0"/>
          <w:kern w:val="0"/>
          <w:sz w:val="36"/>
          <w:szCs w:val="36"/>
          <w:lang w:val="es-ES" w:eastAsia="es-CO"/>
          <w14:ligatures w14:val="none"/>
        </w:rPr>
        <w:t>GESTIÓN DE IMPACTOS AMBIENTALES ASOCIADOS A LAS ACTIVIDADES</w:t>
      </w:r>
    </w:p>
    <w:p w14:paraId="17ED4A75" w14:textId="77777777" w:rsidR="00E05B53" w:rsidRPr="008F3713" w:rsidRDefault="00E05B53" w:rsidP="00E05B53">
      <w:pPr>
        <w:tabs>
          <w:tab w:val="left" w:pos="1290"/>
        </w:tabs>
        <w:jc w:val="both"/>
        <w:rPr>
          <w:rFonts w:ascii="Tahoma" w:eastAsia="Tahoma" w:hAnsi="Tahoma" w:cs="Tahoma"/>
          <w:kern w:val="0"/>
          <w:lang w:val="es-ES" w:eastAsia="es-CO"/>
          <w14:ligatures w14:val="none"/>
        </w:rPr>
      </w:pPr>
      <w:r w:rsidRPr="008F3713">
        <w:rPr>
          <w:rFonts w:ascii="Tahoma" w:eastAsia="Tahoma" w:hAnsi="Tahoma" w:cs="Tahoma"/>
          <w:b/>
          <w:kern w:val="0"/>
          <w:lang w:val="es-ES" w:eastAsia="es-CO"/>
          <w14:ligatures w14:val="none"/>
        </w:rPr>
        <w:t>Dimensión: Contribución proactiva a los desafíos globales</w:t>
      </w:r>
    </w:p>
    <w:p w14:paraId="054E2793" w14:textId="77777777" w:rsidR="00E05B53" w:rsidRPr="008F3713" w:rsidRDefault="00E05B53" w:rsidP="00E05B53">
      <w:pPr>
        <w:tabs>
          <w:tab w:val="left" w:pos="1290"/>
        </w:tabs>
        <w:jc w:val="both"/>
        <w:rPr>
          <w:rFonts w:ascii="Tahoma" w:eastAsia="Tahoma" w:hAnsi="Tahoma" w:cs="Tahoma"/>
          <w:kern w:val="0"/>
          <w:lang w:val="es-ES" w:eastAsia="es-CO"/>
          <w14:ligatures w14:val="none"/>
        </w:rPr>
      </w:pPr>
      <w:r w:rsidRPr="008F3713">
        <w:rPr>
          <w:rFonts w:ascii="Tahoma" w:eastAsia="Tahoma" w:hAnsi="Tahoma" w:cs="Tahoma"/>
          <w:b/>
          <w:kern w:val="0"/>
          <w:lang w:val="es-ES" w:eastAsia="es-CO"/>
          <w14:ligatures w14:val="none"/>
        </w:rPr>
        <w:t>ODS:</w:t>
      </w:r>
    </w:p>
    <w:p w14:paraId="2250E74E" w14:textId="77777777" w:rsidR="00E05B53" w:rsidRPr="008F3713" w:rsidRDefault="00E05B53" w:rsidP="00E05B53">
      <w:pPr>
        <w:tabs>
          <w:tab w:val="left" w:pos="1290"/>
        </w:tabs>
        <w:jc w:val="both"/>
        <w:rPr>
          <w:rFonts w:ascii="Tahoma" w:eastAsia="Tahoma" w:hAnsi="Tahoma" w:cs="Tahoma"/>
          <w:kern w:val="0"/>
          <w:lang w:val="es-ES" w:eastAsia="es-CO"/>
          <w14:ligatures w14:val="none"/>
        </w:rPr>
      </w:pPr>
      <w:r w:rsidRPr="008F3713">
        <w:rPr>
          <w:rFonts w:ascii="Tahoma" w:eastAsia="Tahoma" w:hAnsi="Tahoma" w:cs="Tahoma"/>
          <w:b/>
          <w:noProof/>
          <w:kern w:val="0"/>
          <w:lang w:val="es-ES" w:eastAsia="es-CO"/>
          <w14:ligatures w14:val="none"/>
        </w:rPr>
        <w:drawing>
          <wp:inline distT="0" distB="0" distL="0" distR="0" wp14:anchorId="6B567796" wp14:editId="6F36AA87">
            <wp:extent cx="962025" cy="923925"/>
            <wp:effectExtent l="0" t="0" r="0" b="0"/>
            <wp:docPr id="1528492968" name="image1.png" descr="Imagen de la pantalla de un celular con letra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png" descr="Imagen de la pantalla de un celular con letras&#10;&#10;Descripción generada automáticamente con confianza baja"/>
                    <pic:cNvPicPr preferRelativeResize="0"/>
                  </pic:nvPicPr>
                  <pic:blipFill>
                    <a:blip r:embed="rId46"/>
                    <a:srcRect/>
                    <a:stretch>
                      <a:fillRect/>
                    </a:stretch>
                  </pic:blipFill>
                  <pic:spPr>
                    <a:xfrm>
                      <a:off x="0" y="0"/>
                      <a:ext cx="962025" cy="923925"/>
                    </a:xfrm>
                    <a:prstGeom prst="rect">
                      <a:avLst/>
                    </a:prstGeom>
                    <a:ln/>
                  </pic:spPr>
                </pic:pic>
              </a:graphicData>
            </a:graphic>
          </wp:inline>
        </w:drawing>
      </w:r>
      <w:r w:rsidRPr="008F3713">
        <w:rPr>
          <w:rFonts w:ascii="Tahoma" w:eastAsia="Tahoma" w:hAnsi="Tahoma" w:cs="Tahoma"/>
          <w:kern w:val="0"/>
          <w:lang w:val="es-ES" w:eastAsia="es-CO"/>
          <w14:ligatures w14:val="none"/>
        </w:rPr>
        <w:t xml:space="preserve"> 15 y 7</w:t>
      </w:r>
    </w:p>
    <w:p w14:paraId="14C657F5" w14:textId="62A3D1E9" w:rsidR="00E05B53" w:rsidRPr="008F3713" w:rsidRDefault="00E05B53" w:rsidP="00E05B53">
      <w:pPr>
        <w:tabs>
          <w:tab w:val="left" w:pos="1290"/>
        </w:tabs>
        <w:jc w:val="both"/>
        <w:rPr>
          <w:rFonts w:ascii="Tahoma" w:eastAsia="Tahoma" w:hAnsi="Tahoma" w:cs="Tahoma"/>
          <w:b/>
          <w:kern w:val="0"/>
          <w:sz w:val="32"/>
          <w:szCs w:val="32"/>
          <w:lang w:val="es-ES" w:eastAsia="es-CO"/>
          <w14:ligatures w14:val="none"/>
        </w:rPr>
      </w:pPr>
      <w:r w:rsidRPr="008F3713">
        <w:rPr>
          <w:rFonts w:ascii="Tahoma" w:eastAsia="Tahoma" w:hAnsi="Tahoma" w:cs="Tahoma"/>
          <w:b/>
          <w:kern w:val="0"/>
          <w:sz w:val="32"/>
          <w:szCs w:val="32"/>
          <w:lang w:val="es-ES" w:eastAsia="es-CO"/>
          <w14:ligatures w14:val="none"/>
        </w:rPr>
        <w:t>Gestión del asunto material </w:t>
      </w:r>
    </w:p>
    <w:p w14:paraId="195E9D4E" w14:textId="77777777" w:rsidR="00584FF0" w:rsidRPr="00584FF0" w:rsidRDefault="00584FF0" w:rsidP="00584FF0">
      <w:pPr>
        <w:tabs>
          <w:tab w:val="left" w:pos="1290"/>
        </w:tabs>
        <w:jc w:val="both"/>
        <w:rPr>
          <w:rFonts w:ascii="Tahoma" w:eastAsia="Tahoma" w:hAnsi="Tahoma" w:cs="Tahoma"/>
          <w:kern w:val="0"/>
          <w:lang w:val="es-ES" w:eastAsia="es-CO"/>
          <w14:ligatures w14:val="none"/>
        </w:rPr>
      </w:pPr>
      <w:r w:rsidRPr="00584FF0">
        <w:rPr>
          <w:rFonts w:ascii="Tahoma" w:eastAsia="Tahoma" w:hAnsi="Tahoma" w:cs="Tahoma"/>
          <w:kern w:val="0"/>
          <w:lang w:val="es-ES" w:eastAsia="es-CO"/>
          <w14:ligatures w14:val="none"/>
        </w:rPr>
        <w:t>Para la gestión de este asunto, TRANSELCA, se propone minimizar el impacto ambiental de su actividad, maximizando la ecoeficiencia y cumpliendo o superando los requerimientos ambientales y legales asociados. </w:t>
      </w:r>
    </w:p>
    <w:p w14:paraId="5DC581F1" w14:textId="77777777" w:rsidR="00584FF0" w:rsidRPr="00584FF0" w:rsidRDefault="00584FF0" w:rsidP="00584FF0">
      <w:pPr>
        <w:tabs>
          <w:tab w:val="left" w:pos="1290"/>
        </w:tabs>
        <w:jc w:val="both"/>
        <w:rPr>
          <w:rFonts w:ascii="Tahoma" w:eastAsia="Tahoma" w:hAnsi="Tahoma" w:cs="Tahoma"/>
          <w:kern w:val="0"/>
          <w:lang w:val="es-ES" w:eastAsia="es-CO"/>
          <w14:ligatures w14:val="none"/>
        </w:rPr>
      </w:pPr>
      <w:r w:rsidRPr="00584FF0">
        <w:rPr>
          <w:rFonts w:ascii="Tahoma" w:eastAsia="Tahoma" w:hAnsi="Tahoma" w:cs="Tahoma"/>
          <w:kern w:val="0"/>
          <w:lang w:val="es-ES" w:eastAsia="es-CO"/>
          <w14:ligatures w14:val="none"/>
        </w:rPr>
        <w:t>Los principales impactos ambientales están relacionados con las fugas de hexafluoruro de azufre (SF6), por su alto potencial de calentamiento global y con la intervención que se realiza guardar para mantener las distancias de seguridad de las líneas de transmisión eléctrica la infraestructura y la vegetación, dado que puede causar una posible pérdida de biodiversidad y generación de residuos peligrosos afectar la biodiversidad al alterar hábitats de diversas especies de flora, fauna y los desechos vegetales que pueden convertirse en focos de plagas o enfermedades.</w:t>
      </w:r>
    </w:p>
    <w:p w14:paraId="736D7E66" w14:textId="1DF21336"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Pr>
          <w:rFonts w:ascii="Tahoma" w:eastAsia="Tahoma" w:hAnsi="Tahoma" w:cs="Tahoma"/>
          <w:b/>
          <w:kern w:val="0"/>
          <w:sz w:val="32"/>
          <w:szCs w:val="32"/>
          <w:lang w:val="es-ES" w:eastAsia="es-CO"/>
          <w14:ligatures w14:val="none"/>
        </w:rPr>
        <w:t>I</w:t>
      </w:r>
      <w:r w:rsidRPr="00E05B53">
        <w:rPr>
          <w:rFonts w:ascii="Tahoma" w:eastAsia="Tahoma" w:hAnsi="Tahoma" w:cs="Tahoma"/>
          <w:b/>
          <w:kern w:val="0"/>
          <w:sz w:val="32"/>
          <w:szCs w:val="32"/>
          <w:lang w:val="es-ES" w:eastAsia="es-CO"/>
          <w14:ligatures w14:val="none"/>
        </w:rPr>
        <w:t>mpactos positivos</w:t>
      </w:r>
    </w:p>
    <w:p w14:paraId="4A96F987" w14:textId="77777777" w:rsidR="00E05B53" w:rsidRPr="006A6C2D" w:rsidRDefault="00E05B53" w:rsidP="00164509">
      <w:pPr>
        <w:numPr>
          <w:ilvl w:val="0"/>
          <w:numId w:val="146"/>
        </w:numPr>
        <w:tabs>
          <w:tab w:val="left" w:pos="1290"/>
        </w:tabs>
        <w:spacing w:line="259" w:lineRule="auto"/>
        <w:jc w:val="both"/>
        <w:rPr>
          <w:rFonts w:ascii="Tahoma" w:eastAsia="Tahoma" w:hAnsi="Tahoma" w:cs="Tahoma"/>
          <w:bCs/>
          <w:kern w:val="0"/>
          <w:lang w:val="es-ES" w:eastAsia="es-CO"/>
          <w14:ligatures w14:val="none"/>
        </w:rPr>
      </w:pPr>
      <w:r w:rsidRPr="006A6C2D">
        <w:rPr>
          <w:rFonts w:ascii="Tahoma" w:eastAsia="Tahoma" w:hAnsi="Tahoma" w:cs="Tahoma"/>
          <w:bCs/>
          <w:kern w:val="0"/>
          <w:lang w:val="es-ES" w:eastAsia="es-CO"/>
          <w14:ligatures w14:val="none"/>
        </w:rPr>
        <w:t>Reducción de Emisiones de Gases de Efecto Invernadero</w:t>
      </w:r>
    </w:p>
    <w:p w14:paraId="1CEF8E3B" w14:textId="77777777" w:rsidR="00E05B53" w:rsidRPr="006A6C2D" w:rsidRDefault="00E05B53" w:rsidP="00164509">
      <w:pPr>
        <w:numPr>
          <w:ilvl w:val="0"/>
          <w:numId w:val="146"/>
        </w:numPr>
        <w:tabs>
          <w:tab w:val="left" w:pos="1290"/>
        </w:tabs>
        <w:spacing w:line="259" w:lineRule="auto"/>
        <w:jc w:val="both"/>
        <w:rPr>
          <w:rFonts w:ascii="Tahoma" w:eastAsia="Tahoma" w:hAnsi="Tahoma" w:cs="Tahoma"/>
          <w:bCs/>
          <w:kern w:val="0"/>
          <w:lang w:val="es-ES" w:eastAsia="es-CO"/>
          <w14:ligatures w14:val="none"/>
        </w:rPr>
      </w:pPr>
      <w:r w:rsidRPr="006A6C2D">
        <w:rPr>
          <w:rFonts w:ascii="Tahoma" w:eastAsia="Tahoma" w:hAnsi="Tahoma" w:cs="Tahoma"/>
          <w:bCs/>
          <w:kern w:val="0"/>
          <w:lang w:val="es-ES" w:eastAsia="es-CO"/>
          <w14:ligatures w14:val="none"/>
        </w:rPr>
        <w:t>Gestión eficiente de recursos</w:t>
      </w:r>
    </w:p>
    <w:p w14:paraId="2D302D46" w14:textId="77777777" w:rsidR="00E05B53" w:rsidRPr="006A6C2D" w:rsidRDefault="00E05B53" w:rsidP="00164509">
      <w:pPr>
        <w:numPr>
          <w:ilvl w:val="0"/>
          <w:numId w:val="146"/>
        </w:numPr>
        <w:tabs>
          <w:tab w:val="left" w:pos="1290"/>
        </w:tabs>
        <w:spacing w:line="259" w:lineRule="auto"/>
        <w:jc w:val="both"/>
        <w:rPr>
          <w:rFonts w:ascii="Tahoma" w:eastAsia="Tahoma" w:hAnsi="Tahoma" w:cs="Tahoma"/>
          <w:bCs/>
          <w:kern w:val="0"/>
          <w:lang w:val="es-ES" w:eastAsia="es-CO"/>
          <w14:ligatures w14:val="none"/>
        </w:rPr>
      </w:pPr>
      <w:r w:rsidRPr="006A6C2D">
        <w:rPr>
          <w:rFonts w:ascii="Tahoma" w:eastAsia="Tahoma" w:hAnsi="Tahoma" w:cs="Tahoma"/>
          <w:bCs/>
          <w:kern w:val="0"/>
          <w:lang w:val="es-ES" w:eastAsia="es-CO"/>
          <w14:ligatures w14:val="none"/>
        </w:rPr>
        <w:t>Programas de gestión social corporativa</w:t>
      </w:r>
    </w:p>
    <w:p w14:paraId="2C45A6F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br/>
        <w:t>Evolución:</w:t>
      </w:r>
    </w:p>
    <w:p w14:paraId="0723A8C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 xml:space="preserve">Se observó una disminución casi total de las fugas de SF6 en los equipos, por lo que su seguimiento se realiza en uno de los componentes. Los demás parámetros continúan siendo monitoreados. </w:t>
      </w:r>
    </w:p>
    <w:p w14:paraId="7E0E999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Mejoró relacionamiento con las comunidades cercanas a las líneas de transmisión, beneficiando el cumplimiento de los planes de inspección y mantenimiento.</w:t>
      </w:r>
    </w:p>
    <w:p w14:paraId="6BD38047" w14:textId="77777777" w:rsidR="00D73106" w:rsidRDefault="00D73106" w:rsidP="00E05B53">
      <w:pPr>
        <w:tabs>
          <w:tab w:val="left" w:pos="1290"/>
        </w:tabs>
        <w:jc w:val="both"/>
        <w:rPr>
          <w:rFonts w:ascii="Tahoma" w:eastAsia="Tahoma" w:hAnsi="Tahoma" w:cs="Tahoma"/>
          <w:b/>
          <w:kern w:val="0"/>
          <w:lang w:val="es-ES" w:eastAsia="es-CO"/>
          <w14:ligatures w14:val="none"/>
        </w:rPr>
      </w:pPr>
    </w:p>
    <w:p w14:paraId="49B0687C" w14:textId="1D4499F8"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Hitos</w:t>
      </w:r>
    </w:p>
    <w:p w14:paraId="0FA53BD6" w14:textId="77777777" w:rsidR="00E05B53" w:rsidRPr="00E05B53" w:rsidRDefault="00E05B53" w:rsidP="00164509">
      <w:pPr>
        <w:numPr>
          <w:ilvl w:val="0"/>
          <w:numId w:val="141"/>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Uso de tecnologías y prácticas que contribuyen a la reducción de emisiones de CO2.</w:t>
      </w:r>
    </w:p>
    <w:p w14:paraId="50F52B9A" w14:textId="77777777" w:rsidR="00E05B53" w:rsidRPr="00E05B53" w:rsidRDefault="00E05B53" w:rsidP="00164509">
      <w:pPr>
        <w:numPr>
          <w:ilvl w:val="0"/>
          <w:numId w:val="141"/>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Programas continuos de eficiencia en el uso de agua y energía.</w:t>
      </w:r>
    </w:p>
    <w:p w14:paraId="689688E3" w14:textId="77777777" w:rsidR="00E05B53" w:rsidRPr="00E05B53" w:rsidRDefault="00E05B53" w:rsidP="00164509">
      <w:pPr>
        <w:numPr>
          <w:ilvl w:val="0"/>
          <w:numId w:val="141"/>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Inversión en programas de desarrollo social que buscan mejorar la calidad de vida de las comunidades.</w:t>
      </w:r>
    </w:p>
    <w:p w14:paraId="720E536A" w14:textId="0EF00768" w:rsidR="00E05B53" w:rsidRPr="00D73106" w:rsidRDefault="00D73106" w:rsidP="00E05B53">
      <w:pPr>
        <w:tabs>
          <w:tab w:val="left" w:pos="1290"/>
        </w:tabs>
        <w:jc w:val="both"/>
        <w:rPr>
          <w:rFonts w:ascii="Tahoma" w:eastAsia="Tahoma" w:hAnsi="Tahoma" w:cs="Tahoma"/>
          <w:kern w:val="0"/>
          <w:sz w:val="32"/>
          <w:szCs w:val="32"/>
          <w:lang w:val="es-ES" w:eastAsia="es-CO"/>
          <w14:ligatures w14:val="none"/>
        </w:rPr>
      </w:pPr>
      <w:r>
        <w:rPr>
          <w:rFonts w:ascii="Tahoma" w:eastAsia="Tahoma" w:hAnsi="Tahoma" w:cs="Tahoma"/>
          <w:b/>
          <w:kern w:val="0"/>
          <w:sz w:val="32"/>
          <w:szCs w:val="32"/>
          <w:lang w:val="es-ES" w:eastAsia="es-CO"/>
          <w14:ligatures w14:val="none"/>
        </w:rPr>
        <w:t>R</w:t>
      </w:r>
      <w:r w:rsidRPr="00D73106">
        <w:rPr>
          <w:rFonts w:ascii="Tahoma" w:eastAsia="Tahoma" w:hAnsi="Tahoma" w:cs="Tahoma"/>
          <w:b/>
          <w:kern w:val="0"/>
          <w:sz w:val="32"/>
          <w:szCs w:val="32"/>
          <w:lang w:val="es-ES" w:eastAsia="es-CO"/>
          <w14:ligatures w14:val="none"/>
        </w:rPr>
        <w:t>iesgos de impactos negativos:</w:t>
      </w:r>
    </w:p>
    <w:p w14:paraId="2AA2F961" w14:textId="77777777" w:rsidR="00E05B53" w:rsidRPr="00E05B53" w:rsidRDefault="00E05B53" w:rsidP="00164509">
      <w:pPr>
        <w:numPr>
          <w:ilvl w:val="0"/>
          <w:numId w:val="147"/>
        </w:numPr>
        <w:tabs>
          <w:tab w:val="left" w:pos="1290"/>
        </w:tabs>
        <w:spacing w:line="259" w:lineRule="auto"/>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Pérdida de la capacidad de aislamiento de los equipos eléctricos de alta tensión</w:t>
      </w:r>
    </w:p>
    <w:p w14:paraId="4945B90F" w14:textId="77777777" w:rsidR="00E05B53" w:rsidRPr="00E05B53" w:rsidRDefault="00E05B53" w:rsidP="00164509">
      <w:pPr>
        <w:numPr>
          <w:ilvl w:val="0"/>
          <w:numId w:val="147"/>
        </w:numPr>
        <w:tabs>
          <w:tab w:val="left" w:pos="1290"/>
        </w:tabs>
        <w:spacing w:line="259" w:lineRule="auto"/>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Impedimento del Ingreso del Personal Técnico a Territorios</w:t>
      </w:r>
    </w:p>
    <w:p w14:paraId="12D93E7B"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Evolución:</w:t>
      </w:r>
    </w:p>
    <w:p w14:paraId="333EB9D8" w14:textId="77777777" w:rsidR="00E05B53" w:rsidRPr="00E05B53" w:rsidRDefault="00E05B53" w:rsidP="00164509">
      <w:pPr>
        <w:numPr>
          <w:ilvl w:val="0"/>
          <w:numId w:val="143"/>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Gracias a la detección y corrección de fugas, este riesgo ahora solo se monitorea técnicamente.</w:t>
      </w:r>
    </w:p>
    <w:p w14:paraId="086C600D" w14:textId="77777777" w:rsidR="00E05B53" w:rsidRPr="00E05B53" w:rsidRDefault="00E05B53" w:rsidP="00164509">
      <w:pPr>
        <w:numPr>
          <w:ilvl w:val="0"/>
          <w:numId w:val="143"/>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Aumento en la gestión social de manera anticipada.</w:t>
      </w:r>
    </w:p>
    <w:p w14:paraId="40AD7843"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Hitos:</w:t>
      </w:r>
    </w:p>
    <w:p w14:paraId="59EB7C41" w14:textId="77777777" w:rsidR="00E05B53" w:rsidRPr="00E05B53" w:rsidRDefault="00E05B53" w:rsidP="00164509">
      <w:pPr>
        <w:numPr>
          <w:ilvl w:val="0"/>
          <w:numId w:val="142"/>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Inspección operativa diaria a los equipos.</w:t>
      </w:r>
    </w:p>
    <w:p w14:paraId="3A0AA241" w14:textId="77777777" w:rsidR="00E05B53" w:rsidRPr="00E05B53" w:rsidRDefault="00E05B53" w:rsidP="00164509">
      <w:pPr>
        <w:numPr>
          <w:ilvl w:val="0"/>
          <w:numId w:val="142"/>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Incremento de programas sociales en el territorio.</w:t>
      </w:r>
    </w:p>
    <w:p w14:paraId="44FF6CE2"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Anticipación:</w:t>
      </w:r>
    </w:p>
    <w:p w14:paraId="1600E8B4" w14:textId="77777777" w:rsidR="00E05B53" w:rsidRPr="00E05B53" w:rsidRDefault="00E05B53" w:rsidP="00164509">
      <w:pPr>
        <w:numPr>
          <w:ilvl w:val="0"/>
          <w:numId w:val="144"/>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Implementación de cámaras termográficas y otras tecnologías para detectar fugas tempranas.</w:t>
      </w:r>
    </w:p>
    <w:p w14:paraId="3BEC099F" w14:textId="77777777" w:rsidR="00E05B53" w:rsidRPr="00E05B53" w:rsidRDefault="00E05B53" w:rsidP="00164509">
      <w:pPr>
        <w:numPr>
          <w:ilvl w:val="0"/>
          <w:numId w:val="144"/>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Implementación de programas como "Conexión Desarrollo" y programas internos de gestión social.</w:t>
      </w:r>
    </w:p>
    <w:p w14:paraId="6939F67F" w14:textId="2258DA4C" w:rsidR="00E05B53" w:rsidRPr="00E05B53" w:rsidRDefault="007109C4" w:rsidP="00E05B53">
      <w:pPr>
        <w:tabs>
          <w:tab w:val="left" w:pos="1290"/>
        </w:tabs>
        <w:jc w:val="both"/>
        <w:rPr>
          <w:rFonts w:ascii="Tahoma" w:eastAsia="Tahoma" w:hAnsi="Tahoma" w:cs="Tahoma"/>
          <w:b/>
          <w:kern w:val="0"/>
          <w:sz w:val="36"/>
          <w:szCs w:val="36"/>
          <w:lang w:val="es-ES" w:eastAsia="es-CO"/>
          <w14:ligatures w14:val="none"/>
        </w:rPr>
      </w:pPr>
      <w:r w:rsidRPr="00E05B53">
        <w:rPr>
          <w:rFonts w:ascii="Tahoma" w:eastAsia="Tahoma" w:hAnsi="Tahoma" w:cs="Tahoma"/>
          <w:b/>
          <w:kern w:val="0"/>
          <w:sz w:val="36"/>
          <w:szCs w:val="36"/>
          <w:lang w:val="es-ES" w:eastAsia="es-CO"/>
          <w14:ligatures w14:val="none"/>
        </w:rPr>
        <w:t>Oportunidades</w:t>
      </w:r>
    </w:p>
    <w:p w14:paraId="6FB248E4" w14:textId="77777777" w:rsidR="00E05B53" w:rsidRPr="00E05B53" w:rsidRDefault="00E05B53" w:rsidP="00164509">
      <w:pPr>
        <w:numPr>
          <w:ilvl w:val="0"/>
          <w:numId w:val="145"/>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lastRenderedPageBreak/>
        <w:t>Mantener un buen relacionamiento con las comunidades cercanas.</w:t>
      </w:r>
    </w:p>
    <w:p w14:paraId="25A33C1B" w14:textId="77777777" w:rsidR="00E05B53" w:rsidRPr="00E05B53" w:rsidRDefault="00E05B53" w:rsidP="00164509">
      <w:pPr>
        <w:numPr>
          <w:ilvl w:val="0"/>
          <w:numId w:val="145"/>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La regulación ambiental a nivel nacional tuvo los siguientes ajustes: </w:t>
      </w:r>
    </w:p>
    <w:p w14:paraId="0245933B" w14:textId="77777777" w:rsidR="00E05B53" w:rsidRPr="00E05B53" w:rsidRDefault="00E05B53" w:rsidP="00164509">
      <w:pPr>
        <w:numPr>
          <w:ilvl w:val="1"/>
          <w:numId w:val="145"/>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El Decreto 1275 de 2024, que establece la competencia ambiental de las autoridades indígenas. </w:t>
      </w:r>
    </w:p>
    <w:p w14:paraId="422DF37C" w14:textId="77777777" w:rsidR="00E05B53" w:rsidRPr="00E05B53" w:rsidRDefault="00E05B53" w:rsidP="00164509">
      <w:pPr>
        <w:numPr>
          <w:ilvl w:val="1"/>
          <w:numId w:val="145"/>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La declaratoria de exequibilidad del Acuerdo de Escazú. Se prevé que esta normativa será reglamentada a partir de 2025.</w:t>
      </w:r>
    </w:p>
    <w:p w14:paraId="77E2A69A"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Anticipación:</w:t>
      </w:r>
    </w:p>
    <w:p w14:paraId="4D1E4886" w14:textId="77777777" w:rsidR="00E05B53" w:rsidRPr="00E05B53" w:rsidRDefault="00E05B53" w:rsidP="00164509">
      <w:pPr>
        <w:numPr>
          <w:ilvl w:val="0"/>
          <w:numId w:val="148"/>
        </w:numPr>
        <w:tabs>
          <w:tab w:val="left" w:pos="1290"/>
        </w:tabs>
        <w:spacing w:line="259"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Adquisición de equipos de detección y asignación de recursos para el mantenimiento de estos.</w:t>
      </w:r>
    </w:p>
    <w:p w14:paraId="1DD109C9" w14:textId="77777777" w:rsidR="00E05B53" w:rsidRPr="00E05B53" w:rsidRDefault="00E05B53" w:rsidP="00164509">
      <w:pPr>
        <w:numPr>
          <w:ilvl w:val="0"/>
          <w:numId w:val="148"/>
        </w:numPr>
        <w:tabs>
          <w:tab w:val="left" w:pos="1290"/>
        </w:tabs>
        <w:spacing w:line="259"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Identificación de necesidades y aclaración de inquietudes sobre la presencia de infraestructura.</w:t>
      </w:r>
    </w:p>
    <w:p w14:paraId="777113F8" w14:textId="77777777" w:rsidR="00E05B53" w:rsidRPr="00E05B53" w:rsidRDefault="00E05B53" w:rsidP="00164509">
      <w:pPr>
        <w:numPr>
          <w:ilvl w:val="0"/>
          <w:numId w:val="148"/>
        </w:numPr>
        <w:tabs>
          <w:tab w:val="left" w:pos="1290"/>
        </w:tabs>
        <w:spacing w:line="259"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El conocimiento oportuno de los ajustes a la regulación ambiental le permitirá a TRANSELCA adaptar sus acciones para cumplir con la legislación y especialmente para aportar a la sostenibilidad ambiental y social del país.</w:t>
      </w:r>
    </w:p>
    <w:p w14:paraId="48181AE3" w14:textId="3ED56CCF" w:rsidR="00E05B53" w:rsidRPr="00E05B53" w:rsidRDefault="007109C4" w:rsidP="00E05B53">
      <w:pPr>
        <w:tabs>
          <w:tab w:val="left" w:pos="1290"/>
        </w:tabs>
        <w:jc w:val="both"/>
        <w:rPr>
          <w:rFonts w:ascii="Tahoma" w:eastAsia="Tahoma" w:hAnsi="Tahoma" w:cs="Tahoma"/>
          <w:b/>
          <w:kern w:val="0"/>
          <w:sz w:val="36"/>
          <w:szCs w:val="36"/>
          <w:lang w:val="es-ES" w:eastAsia="es-CO"/>
          <w14:ligatures w14:val="none"/>
        </w:rPr>
      </w:pPr>
      <w:r w:rsidRPr="00E05B53">
        <w:rPr>
          <w:rFonts w:ascii="Tahoma" w:eastAsia="Tahoma" w:hAnsi="Tahoma" w:cs="Tahoma"/>
          <w:b/>
          <w:kern w:val="0"/>
          <w:sz w:val="36"/>
          <w:szCs w:val="36"/>
          <w:lang w:val="es-ES" w:eastAsia="es-CO"/>
          <w14:ligatures w14:val="none"/>
        </w:rPr>
        <w:t>Metas y objetivos alcanzados</w:t>
      </w:r>
    </w:p>
    <w:p w14:paraId="5FCC51C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Reducción de emisiones a través de la detección temprana de fugas de SF6, reducción de refrigerantes, menores viajes aéreos y ahorro de agua y energía, lo cual contribuye a la disminución de CO2.</w:t>
      </w:r>
    </w:p>
    <w:p w14:paraId="3C6B0F6C" w14:textId="7671CB4B" w:rsidR="00E05B53" w:rsidRPr="00E05B53" w:rsidRDefault="007109C4" w:rsidP="00E05B53">
      <w:pPr>
        <w:tabs>
          <w:tab w:val="left" w:pos="1290"/>
        </w:tabs>
        <w:jc w:val="both"/>
        <w:rPr>
          <w:rFonts w:ascii="Tahoma" w:eastAsia="Tahoma" w:hAnsi="Tahoma" w:cs="Tahoma"/>
          <w:b/>
          <w:kern w:val="0"/>
          <w:sz w:val="36"/>
          <w:szCs w:val="36"/>
          <w:lang w:val="es-ES" w:eastAsia="es-CO"/>
          <w14:ligatures w14:val="none"/>
        </w:rPr>
      </w:pPr>
      <w:r w:rsidRPr="00E05B53">
        <w:rPr>
          <w:rFonts w:ascii="Tahoma" w:eastAsia="Tahoma" w:hAnsi="Tahoma" w:cs="Tahoma"/>
          <w:b/>
          <w:kern w:val="0"/>
          <w:sz w:val="36"/>
          <w:szCs w:val="36"/>
          <w:lang w:val="es-ES" w:eastAsia="es-CO"/>
          <w14:ligatures w14:val="none"/>
        </w:rPr>
        <w:t>Lecciones aprendidas:</w:t>
      </w:r>
    </w:p>
    <w:p w14:paraId="723B75E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Procedimiento mejorado de inspecciones operativas y modificación de puntos de medida para optimizar el control y seguimiento de fugas.</w:t>
      </w:r>
    </w:p>
    <w:p w14:paraId="6E28012D" w14:textId="03E0F190" w:rsidR="00E05B53" w:rsidRPr="00E05B53" w:rsidRDefault="007109C4" w:rsidP="00E05B53">
      <w:pPr>
        <w:tabs>
          <w:tab w:val="left" w:pos="1290"/>
        </w:tabs>
        <w:jc w:val="both"/>
        <w:rPr>
          <w:rFonts w:ascii="Tahoma" w:eastAsia="Tahoma" w:hAnsi="Tahoma" w:cs="Tahoma"/>
          <w:kern w:val="0"/>
          <w:sz w:val="36"/>
          <w:szCs w:val="36"/>
          <w:lang w:val="es-ES" w:eastAsia="es-CO"/>
          <w14:ligatures w14:val="none"/>
        </w:rPr>
      </w:pPr>
      <w:r w:rsidRPr="00E05B53">
        <w:rPr>
          <w:rFonts w:ascii="Tahoma" w:eastAsia="Tahoma" w:hAnsi="Tahoma" w:cs="Tahoma"/>
          <w:b/>
          <w:kern w:val="0"/>
          <w:sz w:val="36"/>
          <w:szCs w:val="36"/>
          <w:lang w:val="es-ES" w:eastAsia="es-CO"/>
          <w14:ligatures w14:val="none"/>
        </w:rPr>
        <w:t>¿Cómo se están aplicando?</w:t>
      </w:r>
    </w:p>
    <w:p w14:paraId="0FC213C3" w14:textId="77777777" w:rsidR="00E05B53" w:rsidRPr="00E05B53" w:rsidRDefault="00E05B53" w:rsidP="00E05B53">
      <w:pPr>
        <w:tabs>
          <w:tab w:val="left" w:pos="1290"/>
        </w:tabs>
        <w:jc w:val="both"/>
        <w:rPr>
          <w:rFonts w:ascii="Tahoma" w:eastAsia="Tahoma" w:hAnsi="Tahoma" w:cs="Tahoma"/>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Innovaciones:</w:t>
      </w:r>
    </w:p>
    <w:p w14:paraId="237CCF6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Diseño de herramientas para corregir fugas de SF6 en equipos, lo que optimiza la gestión ambiental de la empresa.</w:t>
      </w:r>
    </w:p>
    <w:p w14:paraId="062E22D4" w14:textId="7C341E36" w:rsidR="00E05B53" w:rsidRPr="00E05B53" w:rsidRDefault="007109C4" w:rsidP="00E05B53">
      <w:pPr>
        <w:tabs>
          <w:tab w:val="left" w:pos="1290"/>
        </w:tabs>
        <w:jc w:val="both"/>
        <w:rPr>
          <w:rFonts w:ascii="Tahoma" w:eastAsia="Tahoma" w:hAnsi="Tahoma" w:cs="Tahoma"/>
          <w:kern w:val="0"/>
          <w:sz w:val="36"/>
          <w:szCs w:val="36"/>
          <w:lang w:val="es-ES" w:eastAsia="es-CO"/>
          <w14:ligatures w14:val="none"/>
        </w:rPr>
      </w:pPr>
      <w:r w:rsidRPr="00E05B53">
        <w:rPr>
          <w:rFonts w:ascii="Tahoma" w:eastAsia="Tahoma" w:hAnsi="Tahoma" w:cs="Tahoma"/>
          <w:b/>
          <w:kern w:val="0"/>
          <w:sz w:val="36"/>
          <w:szCs w:val="36"/>
          <w:lang w:val="es-ES" w:eastAsia="es-CO"/>
          <w14:ligatures w14:val="none"/>
        </w:rPr>
        <w:t>Comunicación con los grupos de interés</w:t>
      </w:r>
    </w:p>
    <w:p w14:paraId="32FAC22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Durante 2024, TRANSELCA continuó fortaleciendo su relación con los grupos de interés mediante reuniones periódicas con las autoridades ambientales, en las cuales se abordaron diversos temas relacionados con la infraestructura eléctrica de la </w:t>
      </w:r>
      <w:r w:rsidRPr="00E05B53">
        <w:rPr>
          <w:rFonts w:ascii="Tahoma" w:eastAsia="Tahoma" w:hAnsi="Tahoma" w:cs="Tahoma"/>
          <w:kern w:val="0"/>
          <w:lang w:val="es-ES" w:eastAsia="es-CO"/>
          <w14:ligatures w14:val="none"/>
        </w:rPr>
        <w:lastRenderedPageBreak/>
        <w:t>compañía en el territorio. Entre los temas tratados se incluyeron el trámite y obtención de permisos ambientales, la gestión predial y los canales de comunicación, entre otros aspectos relevantes.</w:t>
      </w:r>
    </w:p>
    <w:p w14:paraId="58F759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Asimismo, se socializó con las autoridades locales el Plan de Gestión de Riesgo de Desastres, así como los programas y medidas ambientales correspondientes a los proyectos licenciados en los municipios del área de influencia. También se llevaron a cabo programas de convivencia pacífica con las comunidades de la zona de influencia.</w:t>
      </w:r>
    </w:p>
    <w:p w14:paraId="2436ABA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Nota:</w:t>
      </w:r>
      <w:r w:rsidRPr="00E05B53">
        <w:rPr>
          <w:rFonts w:ascii="Tahoma" w:eastAsia="Tahoma" w:hAnsi="Tahoma" w:cs="Tahoma"/>
          <w:kern w:val="0"/>
          <w:lang w:val="es-ES" w:eastAsia="es-CO"/>
          <w14:ligatures w14:val="none"/>
        </w:rPr>
        <w:t xml:space="preserve"> Los expedientes ambientales de las líneas y subestaciones con instrumento de manejo y control ambiental (licencia ambiental o permisos) de propiedad de TRANSELCA están disponibles en el Centro de Atención Documental de la Autoridad Nacional Ambiental (ANLA) y autoridades ambientales, en un portal en línea denominado Ventanilla Integral de Trámites Ambientales (VITAL), donde se puede realizar consultas sobre el estado de los expedientes ambientales, en la opción “Consulta de Expedientes".</w:t>
      </w:r>
    </w:p>
    <w:p w14:paraId="60637BD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En TRANSELCA existen líneas y subestaciones construidas posterior a la emisión de la Ley 99 de 1993 que cuentan con Evaluación de Impacto Ambiental (EIA) para los que los expedientes son públicos y pueden ser consultados en ventanilla Integral de Trámites Ambientales (VITAL).</w:t>
      </w:r>
    </w:p>
    <w:p w14:paraId="6393731F" w14:textId="28FB7419" w:rsidR="00E05B53" w:rsidRPr="00E05B53" w:rsidRDefault="00E05B53" w:rsidP="00E05B53">
      <w:pPr>
        <w:jc w:val="both"/>
        <w:rPr>
          <w:rFonts w:ascii="Tahoma" w:eastAsia="Tahoma" w:hAnsi="Tahoma" w:cs="Tahoma"/>
          <w:b/>
          <w:kern w:val="0"/>
          <w:sz w:val="32"/>
          <w:szCs w:val="32"/>
          <w:lang w:val="es-ES" w:eastAsia="es-CO"/>
          <w14:ligatures w14:val="none"/>
        </w:rPr>
      </w:pPr>
      <w:r>
        <w:rPr>
          <w:rFonts w:ascii="Tahoma" w:eastAsia="Tahoma" w:hAnsi="Tahoma" w:cs="Tahoma"/>
          <w:b/>
          <w:kern w:val="0"/>
          <w:sz w:val="32"/>
          <w:szCs w:val="32"/>
          <w:lang w:val="es-ES" w:eastAsia="es-CO"/>
          <w14:ligatures w14:val="none"/>
        </w:rPr>
        <w:t>S</w:t>
      </w:r>
      <w:r w:rsidRPr="00E05B53">
        <w:rPr>
          <w:rFonts w:ascii="Tahoma" w:eastAsia="Tahoma" w:hAnsi="Tahoma" w:cs="Tahoma"/>
          <w:b/>
          <w:kern w:val="0"/>
          <w:sz w:val="32"/>
          <w:szCs w:val="32"/>
          <w:lang w:val="es-ES" w:eastAsia="es-CO"/>
          <w14:ligatures w14:val="none"/>
        </w:rPr>
        <w:t xml:space="preserve">istema de </w:t>
      </w:r>
      <w:r w:rsidR="007109C4">
        <w:rPr>
          <w:rFonts w:ascii="Tahoma" w:eastAsia="Tahoma" w:hAnsi="Tahoma" w:cs="Tahoma"/>
          <w:b/>
          <w:kern w:val="0"/>
          <w:sz w:val="32"/>
          <w:szCs w:val="32"/>
          <w:lang w:val="es-ES" w:eastAsia="es-CO"/>
          <w14:ligatures w14:val="none"/>
        </w:rPr>
        <w:t>G</w:t>
      </w:r>
      <w:r w:rsidRPr="00E05B53">
        <w:rPr>
          <w:rFonts w:ascii="Tahoma" w:eastAsia="Tahoma" w:hAnsi="Tahoma" w:cs="Tahoma"/>
          <w:b/>
          <w:kern w:val="0"/>
          <w:sz w:val="32"/>
          <w:szCs w:val="32"/>
          <w:lang w:val="es-ES" w:eastAsia="es-CO"/>
          <w14:ligatures w14:val="none"/>
        </w:rPr>
        <w:t xml:space="preserve">estión </w:t>
      </w:r>
      <w:r w:rsidR="007109C4">
        <w:rPr>
          <w:rFonts w:ascii="Tahoma" w:eastAsia="Tahoma" w:hAnsi="Tahoma" w:cs="Tahoma"/>
          <w:b/>
          <w:kern w:val="0"/>
          <w:sz w:val="32"/>
          <w:szCs w:val="32"/>
          <w:lang w:val="es-ES" w:eastAsia="es-CO"/>
          <w14:ligatures w14:val="none"/>
        </w:rPr>
        <w:t>A</w:t>
      </w:r>
      <w:r w:rsidRPr="00E05B53">
        <w:rPr>
          <w:rFonts w:ascii="Tahoma" w:eastAsia="Tahoma" w:hAnsi="Tahoma" w:cs="Tahoma"/>
          <w:b/>
          <w:kern w:val="0"/>
          <w:sz w:val="32"/>
          <w:szCs w:val="32"/>
          <w:lang w:val="es-ES" w:eastAsia="es-CO"/>
          <w14:ligatures w14:val="none"/>
        </w:rPr>
        <w:t>mbiental</w:t>
      </w:r>
    </w:p>
    <w:p w14:paraId="2AB4620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Los expedientes ambientales de las líneas y subestaciones de TRANSELCA, que contaban con licencia ambiental o permisos, estuvieron disponibles en el centro de atención documental de la Autoridad Nacional Ambiental (ANLA) y otras autoridades ambientales. Además, podían consultarse en línea a través del portal Ventanilla Integral de Trámites Ambientales (VITAL), en la opción "Consulta de Expedientes".</w:t>
      </w:r>
    </w:p>
    <w:p w14:paraId="652254E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Nota:</w:t>
      </w:r>
      <w:r w:rsidRPr="00E05B53">
        <w:rPr>
          <w:rFonts w:ascii="Tahoma" w:eastAsia="Tahoma" w:hAnsi="Tahoma" w:cs="Tahoma"/>
          <w:kern w:val="0"/>
          <w:lang w:val="es-ES" w:eastAsia="es-CO"/>
          <w14:ligatures w14:val="none"/>
        </w:rPr>
        <w:t xml:space="preserve"> Durante el transcurso del año 2024 TRANSELCA no incurrió en ninguna multa o incidente ambiental. </w:t>
      </w:r>
      <w:r w:rsidRPr="007109C4">
        <w:rPr>
          <w:rFonts w:ascii="Tahoma" w:eastAsia="Tahoma" w:hAnsi="Tahoma" w:cs="Tahoma"/>
          <w:b/>
          <w:color w:val="0070C0"/>
          <w:kern w:val="0"/>
          <w:lang w:val="es-ES" w:eastAsia="es-CO"/>
          <w14:ligatures w14:val="none"/>
        </w:rPr>
        <w:t>GRI 307-1</w:t>
      </w:r>
    </w:p>
    <w:p w14:paraId="711F128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TRANSELCA tiene nueve (9) procesos sancionatorios ambientales activos, asociados todos a presuntos incumplimientos de tipo documental, es decir, no ha habido daño a los recursos naturales, los cuales son gestionados conforme a las etapas de cada investigación. </w:t>
      </w:r>
    </w:p>
    <w:p w14:paraId="5015C5BD"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kern w:val="0"/>
          <w:lang w:val="es-ES" w:eastAsia="es-CO"/>
          <w14:ligatures w14:val="none"/>
        </w:rPr>
        <w:lastRenderedPageBreak/>
        <w:t xml:space="preserve">Trimestralmente estos procesos son analizados bajo la metodología de riesgos de la Compañía, valorando probabilidad de ocurrencia y magnitud, así como son reportados a la Alta Dirección para retroalimentación. </w:t>
      </w:r>
      <w:r w:rsidRPr="007109C4">
        <w:rPr>
          <w:rFonts w:ascii="Tahoma" w:eastAsia="Tahoma" w:hAnsi="Tahoma" w:cs="Tahoma"/>
          <w:b/>
          <w:color w:val="0070C0"/>
          <w:kern w:val="0"/>
          <w:lang w:val="es-ES" w:eastAsia="es-CO"/>
          <w14:ligatures w14:val="none"/>
        </w:rPr>
        <w:t>GRI 307-1</w:t>
      </w:r>
    </w:p>
    <w:p w14:paraId="6E4FCCA2" w14:textId="6DD27C5A" w:rsidR="00E05B53" w:rsidRPr="004A013E" w:rsidRDefault="004A013E" w:rsidP="00E05B53">
      <w:pPr>
        <w:tabs>
          <w:tab w:val="left" w:pos="1290"/>
        </w:tabs>
        <w:jc w:val="both"/>
        <w:rPr>
          <w:rFonts w:ascii="Tahoma" w:eastAsia="Tahoma" w:hAnsi="Tahoma" w:cs="Tahoma"/>
          <w:b/>
          <w:color w:val="0070C0"/>
          <w:kern w:val="0"/>
          <w:sz w:val="32"/>
          <w:szCs w:val="32"/>
          <w:lang w:val="es-ES" w:eastAsia="es-CO"/>
          <w14:ligatures w14:val="none"/>
        </w:rPr>
      </w:pPr>
      <w:r w:rsidRPr="004A013E">
        <w:rPr>
          <w:rFonts w:ascii="Tahoma" w:eastAsia="Tahoma" w:hAnsi="Tahoma" w:cs="Tahoma"/>
          <w:b/>
          <w:color w:val="0070C0"/>
          <w:kern w:val="0"/>
          <w:sz w:val="32"/>
          <w:szCs w:val="32"/>
          <w:lang w:val="es-ES" w:eastAsia="es-CO"/>
          <w14:ligatures w14:val="none"/>
        </w:rPr>
        <w:t>I</w:t>
      </w:r>
      <w:r w:rsidR="00E05B53" w:rsidRPr="004A013E">
        <w:rPr>
          <w:rFonts w:ascii="Tahoma" w:eastAsia="Tahoma" w:hAnsi="Tahoma" w:cs="Tahoma"/>
          <w:b/>
          <w:color w:val="0070C0"/>
          <w:kern w:val="0"/>
          <w:sz w:val="32"/>
          <w:szCs w:val="32"/>
          <w:lang w:val="es-ES" w:eastAsia="es-CO"/>
          <w14:ligatures w14:val="none"/>
        </w:rPr>
        <w:t xml:space="preserve">ndicadores </w:t>
      </w:r>
      <w:r w:rsidRPr="004A013E">
        <w:rPr>
          <w:rFonts w:ascii="Tahoma" w:eastAsia="Tahoma" w:hAnsi="Tahoma" w:cs="Tahoma"/>
          <w:b/>
          <w:color w:val="0070C0"/>
          <w:kern w:val="0"/>
          <w:sz w:val="32"/>
          <w:szCs w:val="32"/>
          <w:lang w:val="es-ES" w:eastAsia="es-CO"/>
          <w14:ligatures w14:val="none"/>
        </w:rPr>
        <w:t>GRI</w:t>
      </w:r>
      <w:r w:rsidR="00E05B53" w:rsidRPr="004A013E">
        <w:rPr>
          <w:rFonts w:ascii="Tahoma" w:eastAsia="Tahoma" w:hAnsi="Tahoma" w:cs="Tahoma"/>
          <w:b/>
          <w:color w:val="0070C0"/>
          <w:kern w:val="0"/>
          <w:sz w:val="32"/>
          <w:szCs w:val="32"/>
          <w:lang w:val="es-ES" w:eastAsia="es-CO"/>
          <w14:ligatures w14:val="none"/>
        </w:rPr>
        <w:t xml:space="preserve"> </w:t>
      </w:r>
    </w:p>
    <w:p w14:paraId="066A4F0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 continuación, se presentan los indicadores que dan cuenta de la gestión de los impactos ambientales de la compañía relacionados con el consumo de energía, agua y gestión de residuos.</w:t>
      </w:r>
    </w:p>
    <w:p w14:paraId="3767644A"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Energía</w:t>
      </w:r>
    </w:p>
    <w:p w14:paraId="147F3810"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302-3 – GRI 302-1 - GRI 302-2</w:t>
      </w:r>
    </w:p>
    <w:p w14:paraId="6F9674BB"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Consumo de combustibles</w:t>
      </w:r>
    </w:p>
    <w:tbl>
      <w:tblPr>
        <w:tblW w:w="7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5"/>
        <w:gridCol w:w="991"/>
        <w:gridCol w:w="1559"/>
        <w:gridCol w:w="1559"/>
        <w:gridCol w:w="1560"/>
      </w:tblGrid>
      <w:tr w:rsidR="00E05B53" w:rsidRPr="00E05B53" w14:paraId="42090FC8" w14:textId="77777777" w:rsidTr="00822E3C">
        <w:tc>
          <w:tcPr>
            <w:tcW w:w="1765" w:type="dxa"/>
          </w:tcPr>
          <w:p w14:paraId="7A092F9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Consumo de combustibles</w:t>
            </w:r>
          </w:p>
        </w:tc>
        <w:tc>
          <w:tcPr>
            <w:tcW w:w="991" w:type="dxa"/>
          </w:tcPr>
          <w:p w14:paraId="4D7428F2"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1559" w:type="dxa"/>
          </w:tcPr>
          <w:p w14:paraId="7C53AB72"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1559" w:type="dxa"/>
          </w:tcPr>
          <w:p w14:paraId="30E524F5"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1560" w:type="dxa"/>
          </w:tcPr>
          <w:p w14:paraId="61C79E19"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1BAC901F" w14:textId="77777777" w:rsidTr="00822E3C">
        <w:tc>
          <w:tcPr>
            <w:tcW w:w="1765" w:type="dxa"/>
          </w:tcPr>
          <w:p w14:paraId="70AF38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ACPM</w:t>
            </w:r>
          </w:p>
        </w:tc>
        <w:tc>
          <w:tcPr>
            <w:tcW w:w="991" w:type="dxa"/>
          </w:tcPr>
          <w:p w14:paraId="0D10019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3A1913D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6F1AAB6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2.859,27</w:t>
            </w:r>
          </w:p>
        </w:tc>
        <w:tc>
          <w:tcPr>
            <w:tcW w:w="1560" w:type="dxa"/>
          </w:tcPr>
          <w:p w14:paraId="6D2E137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3.800,07</w:t>
            </w:r>
          </w:p>
        </w:tc>
      </w:tr>
      <w:tr w:rsidR="00E05B53" w:rsidRPr="00E05B53" w14:paraId="2E1576EE" w14:textId="77777777" w:rsidTr="00822E3C">
        <w:tc>
          <w:tcPr>
            <w:tcW w:w="1765" w:type="dxa"/>
          </w:tcPr>
          <w:p w14:paraId="4621C66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Gasolina</w:t>
            </w:r>
          </w:p>
        </w:tc>
        <w:tc>
          <w:tcPr>
            <w:tcW w:w="991" w:type="dxa"/>
          </w:tcPr>
          <w:p w14:paraId="18C5791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6AC45EF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0A7C3F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5.316,11</w:t>
            </w:r>
          </w:p>
        </w:tc>
        <w:tc>
          <w:tcPr>
            <w:tcW w:w="1560" w:type="dxa"/>
          </w:tcPr>
          <w:p w14:paraId="5BA0421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5.417,490</w:t>
            </w:r>
          </w:p>
        </w:tc>
      </w:tr>
      <w:tr w:rsidR="00E05B53" w:rsidRPr="00E05B53" w14:paraId="4F79374E" w14:textId="77777777" w:rsidTr="00822E3C">
        <w:tc>
          <w:tcPr>
            <w:tcW w:w="1765" w:type="dxa"/>
          </w:tcPr>
          <w:p w14:paraId="08804F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Gas natural</w:t>
            </w:r>
          </w:p>
        </w:tc>
        <w:tc>
          <w:tcPr>
            <w:tcW w:w="991" w:type="dxa"/>
          </w:tcPr>
          <w:p w14:paraId="3D84D57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2BFDD33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439D3D3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024295C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BFEE1FD" w14:textId="77777777" w:rsidTr="00822E3C">
        <w:tc>
          <w:tcPr>
            <w:tcW w:w="1765" w:type="dxa"/>
          </w:tcPr>
          <w:p w14:paraId="784B8BC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GNV</w:t>
            </w:r>
          </w:p>
        </w:tc>
        <w:tc>
          <w:tcPr>
            <w:tcW w:w="991" w:type="dxa"/>
          </w:tcPr>
          <w:p w14:paraId="053DECA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33AC34F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70786BA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56C5C4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B827141" w14:textId="77777777" w:rsidTr="00822E3C">
        <w:tc>
          <w:tcPr>
            <w:tcW w:w="1765" w:type="dxa"/>
          </w:tcPr>
          <w:p w14:paraId="7C309AB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GLP</w:t>
            </w:r>
          </w:p>
        </w:tc>
        <w:tc>
          <w:tcPr>
            <w:tcW w:w="991" w:type="dxa"/>
          </w:tcPr>
          <w:p w14:paraId="6FAD8A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6FA8EBC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3E6955A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6A07E25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11C0763" w14:textId="77777777" w:rsidTr="00822E3C">
        <w:tc>
          <w:tcPr>
            <w:tcW w:w="1765" w:type="dxa"/>
          </w:tcPr>
          <w:p w14:paraId="663FA20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Etanol</w:t>
            </w:r>
          </w:p>
        </w:tc>
        <w:tc>
          <w:tcPr>
            <w:tcW w:w="991" w:type="dxa"/>
          </w:tcPr>
          <w:p w14:paraId="3238CBF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47F5137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1FF80B6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09D9519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131A156" w14:textId="77777777" w:rsidTr="00822E3C">
        <w:tc>
          <w:tcPr>
            <w:tcW w:w="1765" w:type="dxa"/>
          </w:tcPr>
          <w:p w14:paraId="5B5452A1" w14:textId="77777777" w:rsidR="00E05B53" w:rsidRPr="00E05B53" w:rsidRDefault="00E05B53" w:rsidP="00E05B53">
            <w:pPr>
              <w:tabs>
                <w:tab w:val="left" w:pos="1290"/>
              </w:tabs>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Queroseno</w:t>
            </w:r>
          </w:p>
        </w:tc>
        <w:tc>
          <w:tcPr>
            <w:tcW w:w="991" w:type="dxa"/>
          </w:tcPr>
          <w:p w14:paraId="4CF2D97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1B8D37B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139F5BF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63990A6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FE3F1F0" w14:textId="77777777" w:rsidTr="00822E3C">
        <w:tc>
          <w:tcPr>
            <w:tcW w:w="1765" w:type="dxa"/>
          </w:tcPr>
          <w:p w14:paraId="68071A6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Biodiésel</w:t>
            </w:r>
          </w:p>
        </w:tc>
        <w:tc>
          <w:tcPr>
            <w:tcW w:w="991" w:type="dxa"/>
          </w:tcPr>
          <w:p w14:paraId="738C200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61B4BC1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59" w:type="dxa"/>
          </w:tcPr>
          <w:p w14:paraId="6DA00C8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560" w:type="dxa"/>
          </w:tcPr>
          <w:p w14:paraId="300D78E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36C54A9F"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302-1.a y 302-1.b</w:t>
      </w:r>
    </w:p>
    <w:p w14:paraId="49CC85B6"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Consumo de energía por tipo de fuente dentro de la compañía</w:t>
      </w:r>
    </w:p>
    <w:tbl>
      <w:tblPr>
        <w:tblW w:w="8828" w:type="dxa"/>
        <w:tblLayout w:type="fixed"/>
        <w:tblLook w:val="0400" w:firstRow="0" w:lastRow="0" w:firstColumn="0" w:lastColumn="0" w:noHBand="0" w:noVBand="1"/>
      </w:tblPr>
      <w:tblGrid>
        <w:gridCol w:w="5120"/>
        <w:gridCol w:w="757"/>
        <w:gridCol w:w="1217"/>
        <w:gridCol w:w="1109"/>
        <w:gridCol w:w="625"/>
      </w:tblGrid>
      <w:tr w:rsidR="00E05B53" w:rsidRPr="00E05B53" w14:paraId="71CBF9D7" w14:textId="77777777" w:rsidTr="00822E3C">
        <w:trPr>
          <w:trHeight w:val="765"/>
        </w:trPr>
        <w:tc>
          <w:tcPr>
            <w:tcW w:w="5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269B0" w14:textId="77777777" w:rsidR="00E05B53" w:rsidRPr="00E05B53" w:rsidRDefault="00E05B53" w:rsidP="00E05B53">
            <w:pPr>
              <w:spacing w:after="0" w:line="240" w:lineRule="auto"/>
              <w:jc w:val="both"/>
              <w:rPr>
                <w:rFonts w:ascii="Tahoma" w:eastAsia="Arial" w:hAnsi="Tahoma" w:cs="Tahoma"/>
                <w:b/>
                <w:kern w:val="0"/>
                <w:sz w:val="20"/>
                <w:szCs w:val="20"/>
                <w:lang w:val="es-ES" w:eastAsia="es-CO"/>
                <w14:ligatures w14:val="none"/>
              </w:rPr>
            </w:pPr>
            <w:r w:rsidRPr="00E05B53">
              <w:rPr>
                <w:rFonts w:ascii="Tahoma" w:eastAsia="Arial" w:hAnsi="Tahoma" w:cs="Tahoma"/>
                <w:b/>
                <w:kern w:val="0"/>
                <w:sz w:val="20"/>
                <w:szCs w:val="20"/>
                <w:lang w:val="es-ES" w:eastAsia="es-CO"/>
                <w14:ligatures w14:val="none"/>
              </w:rPr>
              <w:t>Consumo de energía</w:t>
            </w:r>
          </w:p>
        </w:tc>
        <w:tc>
          <w:tcPr>
            <w:tcW w:w="757" w:type="dxa"/>
            <w:tcBorders>
              <w:top w:val="single" w:sz="4" w:space="0" w:color="000000"/>
              <w:left w:val="nil"/>
              <w:bottom w:val="single" w:sz="4" w:space="0" w:color="000000"/>
              <w:right w:val="single" w:sz="4" w:space="0" w:color="000000"/>
            </w:tcBorders>
            <w:shd w:val="clear" w:color="auto" w:fill="auto"/>
            <w:vAlign w:val="center"/>
          </w:tcPr>
          <w:p w14:paraId="170D6539" w14:textId="77777777" w:rsidR="00E05B53" w:rsidRPr="00E05B53" w:rsidRDefault="00E05B53" w:rsidP="00E05B53">
            <w:pPr>
              <w:spacing w:after="0" w:line="240" w:lineRule="auto"/>
              <w:jc w:val="both"/>
              <w:rPr>
                <w:rFonts w:ascii="Tahoma" w:eastAsia="Arial" w:hAnsi="Tahoma" w:cs="Tahoma"/>
                <w:b/>
                <w:kern w:val="0"/>
                <w:sz w:val="20"/>
                <w:szCs w:val="20"/>
                <w:lang w:val="es-ES" w:eastAsia="es-CO"/>
                <w14:ligatures w14:val="none"/>
              </w:rPr>
            </w:pPr>
            <w:r w:rsidRPr="00E05B53">
              <w:rPr>
                <w:rFonts w:ascii="Tahoma" w:eastAsia="Arial" w:hAnsi="Tahoma" w:cs="Tahoma"/>
                <w:b/>
                <w:kern w:val="0"/>
                <w:sz w:val="20"/>
                <w:szCs w:val="20"/>
                <w:lang w:val="es-ES" w:eastAsia="es-CO"/>
                <w14:ligatures w14:val="none"/>
              </w:rPr>
              <w:t>Unidad de medida</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7F0FED7" w14:textId="77777777" w:rsidR="00E05B53" w:rsidRPr="00E05B53" w:rsidRDefault="00E05B53" w:rsidP="00E05B53">
            <w:pPr>
              <w:spacing w:after="0" w:line="240" w:lineRule="auto"/>
              <w:jc w:val="center"/>
              <w:rPr>
                <w:rFonts w:ascii="Tahoma" w:eastAsia="Arial" w:hAnsi="Tahoma" w:cs="Tahoma"/>
                <w:b/>
                <w:kern w:val="0"/>
                <w:sz w:val="20"/>
                <w:szCs w:val="20"/>
                <w:lang w:val="es-ES" w:eastAsia="es-CO"/>
                <w14:ligatures w14:val="none"/>
              </w:rPr>
            </w:pPr>
            <w:r w:rsidRPr="00E05B53">
              <w:rPr>
                <w:rFonts w:ascii="Tahoma" w:eastAsia="Arial" w:hAnsi="Tahoma" w:cs="Tahoma"/>
                <w:b/>
                <w:kern w:val="0"/>
                <w:sz w:val="20"/>
                <w:szCs w:val="20"/>
                <w:lang w:val="es-ES" w:eastAsia="es-CO"/>
                <w14:ligatures w14:val="none"/>
              </w:rPr>
              <w:t>2022</w:t>
            </w:r>
          </w:p>
        </w:tc>
        <w:tc>
          <w:tcPr>
            <w:tcW w:w="1109" w:type="dxa"/>
            <w:tcBorders>
              <w:top w:val="single" w:sz="4" w:space="0" w:color="000000"/>
              <w:left w:val="nil"/>
              <w:bottom w:val="single" w:sz="4" w:space="0" w:color="000000"/>
              <w:right w:val="single" w:sz="4" w:space="0" w:color="000000"/>
            </w:tcBorders>
            <w:shd w:val="clear" w:color="auto" w:fill="auto"/>
            <w:vAlign w:val="center"/>
          </w:tcPr>
          <w:p w14:paraId="736D74B7" w14:textId="77777777" w:rsidR="00E05B53" w:rsidRPr="00E05B53" w:rsidRDefault="00E05B53" w:rsidP="00E05B53">
            <w:pPr>
              <w:spacing w:after="0" w:line="240" w:lineRule="auto"/>
              <w:jc w:val="center"/>
              <w:rPr>
                <w:rFonts w:ascii="Tahoma" w:eastAsia="Arial" w:hAnsi="Tahoma" w:cs="Tahoma"/>
                <w:b/>
                <w:kern w:val="0"/>
                <w:sz w:val="20"/>
                <w:szCs w:val="20"/>
                <w:lang w:val="es-ES" w:eastAsia="es-CO"/>
                <w14:ligatures w14:val="none"/>
              </w:rPr>
            </w:pPr>
            <w:r w:rsidRPr="00E05B53">
              <w:rPr>
                <w:rFonts w:ascii="Tahoma" w:eastAsia="Arial" w:hAnsi="Tahoma" w:cs="Tahoma"/>
                <w:b/>
                <w:kern w:val="0"/>
                <w:sz w:val="20"/>
                <w:szCs w:val="20"/>
                <w:lang w:val="es-ES" w:eastAsia="es-CO"/>
                <w14:ligatures w14:val="none"/>
              </w:rPr>
              <w:t>2023</w:t>
            </w:r>
          </w:p>
        </w:tc>
        <w:tc>
          <w:tcPr>
            <w:tcW w:w="625" w:type="dxa"/>
            <w:tcBorders>
              <w:top w:val="single" w:sz="4" w:space="0" w:color="000000"/>
              <w:left w:val="nil"/>
              <w:bottom w:val="single" w:sz="4" w:space="0" w:color="000000"/>
              <w:right w:val="single" w:sz="4" w:space="0" w:color="000000"/>
            </w:tcBorders>
            <w:shd w:val="clear" w:color="auto" w:fill="auto"/>
            <w:vAlign w:val="center"/>
          </w:tcPr>
          <w:p w14:paraId="49237F00" w14:textId="77777777" w:rsidR="00E05B53" w:rsidRPr="00E05B53" w:rsidRDefault="00E05B53" w:rsidP="00E05B53">
            <w:pPr>
              <w:spacing w:after="0" w:line="240" w:lineRule="auto"/>
              <w:jc w:val="center"/>
              <w:rPr>
                <w:rFonts w:ascii="Tahoma" w:eastAsia="Arial" w:hAnsi="Tahoma" w:cs="Tahoma"/>
                <w:b/>
                <w:kern w:val="0"/>
                <w:sz w:val="20"/>
                <w:szCs w:val="20"/>
                <w:lang w:val="es-ES" w:eastAsia="es-CO"/>
                <w14:ligatures w14:val="none"/>
              </w:rPr>
            </w:pPr>
            <w:r w:rsidRPr="00E05B53">
              <w:rPr>
                <w:rFonts w:ascii="Tahoma" w:eastAsia="Arial" w:hAnsi="Tahoma" w:cs="Tahoma"/>
                <w:b/>
                <w:kern w:val="0"/>
                <w:sz w:val="20"/>
                <w:szCs w:val="20"/>
                <w:lang w:val="es-ES" w:eastAsia="es-CO"/>
                <w14:ligatures w14:val="none"/>
              </w:rPr>
              <w:t>2024</w:t>
            </w:r>
          </w:p>
        </w:tc>
      </w:tr>
      <w:tr w:rsidR="00E05B53" w:rsidRPr="00E05B53" w14:paraId="7AA2630F"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393C9AF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ACPM</w:t>
            </w:r>
          </w:p>
        </w:tc>
        <w:tc>
          <w:tcPr>
            <w:tcW w:w="757" w:type="dxa"/>
            <w:tcBorders>
              <w:top w:val="nil"/>
              <w:left w:val="nil"/>
              <w:bottom w:val="single" w:sz="4" w:space="0" w:color="000000"/>
              <w:right w:val="single" w:sz="4" w:space="0" w:color="000000"/>
            </w:tcBorders>
            <w:shd w:val="clear" w:color="auto" w:fill="auto"/>
            <w:vAlign w:val="center"/>
          </w:tcPr>
          <w:p w14:paraId="6511410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61F99BB0"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635,51</w:t>
            </w:r>
          </w:p>
        </w:tc>
        <w:tc>
          <w:tcPr>
            <w:tcW w:w="1109" w:type="dxa"/>
            <w:tcBorders>
              <w:top w:val="nil"/>
              <w:left w:val="nil"/>
              <w:bottom w:val="single" w:sz="4" w:space="0" w:color="000000"/>
              <w:right w:val="single" w:sz="4" w:space="0" w:color="000000"/>
            </w:tcBorders>
            <w:shd w:val="clear" w:color="auto" w:fill="auto"/>
            <w:vAlign w:val="center"/>
          </w:tcPr>
          <w:p w14:paraId="3FD6947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115,61</w:t>
            </w:r>
          </w:p>
        </w:tc>
        <w:tc>
          <w:tcPr>
            <w:tcW w:w="625" w:type="dxa"/>
            <w:tcBorders>
              <w:top w:val="nil"/>
              <w:left w:val="nil"/>
              <w:bottom w:val="single" w:sz="4" w:space="0" w:color="000000"/>
              <w:right w:val="single" w:sz="4" w:space="0" w:color="000000"/>
            </w:tcBorders>
            <w:shd w:val="clear" w:color="auto" w:fill="auto"/>
            <w:vAlign w:val="center"/>
          </w:tcPr>
          <w:p w14:paraId="260A77C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153,9</w:t>
            </w:r>
          </w:p>
        </w:tc>
      </w:tr>
      <w:tr w:rsidR="00E05B53" w:rsidRPr="00E05B53" w14:paraId="1629BA0A"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42BF3F1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gasolina</w:t>
            </w:r>
          </w:p>
        </w:tc>
        <w:tc>
          <w:tcPr>
            <w:tcW w:w="757" w:type="dxa"/>
            <w:tcBorders>
              <w:top w:val="nil"/>
              <w:left w:val="nil"/>
              <w:bottom w:val="single" w:sz="4" w:space="0" w:color="000000"/>
              <w:right w:val="single" w:sz="4" w:space="0" w:color="000000"/>
            </w:tcBorders>
            <w:shd w:val="clear" w:color="auto" w:fill="auto"/>
            <w:vAlign w:val="center"/>
          </w:tcPr>
          <w:p w14:paraId="3DE547B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1FFD7EA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413,89</w:t>
            </w:r>
          </w:p>
        </w:tc>
        <w:tc>
          <w:tcPr>
            <w:tcW w:w="1109" w:type="dxa"/>
            <w:tcBorders>
              <w:top w:val="nil"/>
              <w:left w:val="nil"/>
              <w:bottom w:val="single" w:sz="4" w:space="0" w:color="000000"/>
              <w:right w:val="single" w:sz="4" w:space="0" w:color="000000"/>
            </w:tcBorders>
            <w:shd w:val="clear" w:color="auto" w:fill="auto"/>
            <w:vAlign w:val="center"/>
          </w:tcPr>
          <w:p w14:paraId="5AF02BC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178,66</w:t>
            </w:r>
          </w:p>
        </w:tc>
        <w:tc>
          <w:tcPr>
            <w:tcW w:w="625" w:type="dxa"/>
            <w:tcBorders>
              <w:top w:val="nil"/>
              <w:left w:val="nil"/>
              <w:bottom w:val="single" w:sz="4" w:space="0" w:color="000000"/>
              <w:right w:val="single" w:sz="4" w:space="0" w:color="000000"/>
            </w:tcBorders>
            <w:shd w:val="clear" w:color="auto" w:fill="auto"/>
            <w:vAlign w:val="center"/>
          </w:tcPr>
          <w:p w14:paraId="4ACC2EB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6AACD356"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59D2E00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lastRenderedPageBreak/>
              <w:t>Consumo de gas natural</w:t>
            </w:r>
          </w:p>
        </w:tc>
        <w:tc>
          <w:tcPr>
            <w:tcW w:w="757" w:type="dxa"/>
            <w:tcBorders>
              <w:top w:val="nil"/>
              <w:left w:val="nil"/>
              <w:bottom w:val="single" w:sz="4" w:space="0" w:color="000000"/>
              <w:right w:val="single" w:sz="4" w:space="0" w:color="000000"/>
            </w:tcBorders>
            <w:shd w:val="clear" w:color="auto" w:fill="auto"/>
            <w:vAlign w:val="center"/>
          </w:tcPr>
          <w:p w14:paraId="09E8866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38797A9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27616DF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5FC3840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21E069BC"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03347F6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GNV</w:t>
            </w:r>
          </w:p>
        </w:tc>
        <w:tc>
          <w:tcPr>
            <w:tcW w:w="757" w:type="dxa"/>
            <w:tcBorders>
              <w:top w:val="nil"/>
              <w:left w:val="nil"/>
              <w:bottom w:val="single" w:sz="4" w:space="0" w:color="000000"/>
              <w:right w:val="single" w:sz="4" w:space="0" w:color="000000"/>
            </w:tcBorders>
            <w:shd w:val="clear" w:color="auto" w:fill="auto"/>
            <w:vAlign w:val="center"/>
          </w:tcPr>
          <w:p w14:paraId="10097C1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56EA9C7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0,01</w:t>
            </w:r>
          </w:p>
        </w:tc>
        <w:tc>
          <w:tcPr>
            <w:tcW w:w="1109" w:type="dxa"/>
            <w:tcBorders>
              <w:top w:val="nil"/>
              <w:left w:val="nil"/>
              <w:bottom w:val="single" w:sz="4" w:space="0" w:color="000000"/>
              <w:right w:val="single" w:sz="4" w:space="0" w:color="000000"/>
            </w:tcBorders>
            <w:shd w:val="clear" w:color="auto" w:fill="auto"/>
            <w:vAlign w:val="center"/>
          </w:tcPr>
          <w:p w14:paraId="0181090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4E4400D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r>
      <w:tr w:rsidR="00E05B53" w:rsidRPr="00E05B53" w14:paraId="6C442AAD"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3945106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GLP</w:t>
            </w:r>
          </w:p>
        </w:tc>
        <w:tc>
          <w:tcPr>
            <w:tcW w:w="757" w:type="dxa"/>
            <w:tcBorders>
              <w:top w:val="nil"/>
              <w:left w:val="nil"/>
              <w:bottom w:val="single" w:sz="4" w:space="0" w:color="000000"/>
              <w:right w:val="single" w:sz="4" w:space="0" w:color="000000"/>
            </w:tcBorders>
            <w:shd w:val="clear" w:color="auto" w:fill="auto"/>
            <w:vAlign w:val="center"/>
          </w:tcPr>
          <w:p w14:paraId="29927D8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73E7976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16A792E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35BB449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5706566F"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0E26216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queroseno</w:t>
            </w:r>
          </w:p>
        </w:tc>
        <w:tc>
          <w:tcPr>
            <w:tcW w:w="757" w:type="dxa"/>
            <w:tcBorders>
              <w:top w:val="nil"/>
              <w:left w:val="nil"/>
              <w:bottom w:val="single" w:sz="4" w:space="0" w:color="000000"/>
              <w:right w:val="single" w:sz="4" w:space="0" w:color="000000"/>
            </w:tcBorders>
            <w:shd w:val="clear" w:color="auto" w:fill="auto"/>
            <w:vAlign w:val="center"/>
          </w:tcPr>
          <w:p w14:paraId="67DCAF0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1832AED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6B6AB3D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7782265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r>
      <w:tr w:rsidR="00E05B53" w:rsidRPr="00E05B53" w14:paraId="4CAB1366"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292ED76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combustibles no renovables</w:t>
            </w:r>
          </w:p>
        </w:tc>
        <w:tc>
          <w:tcPr>
            <w:tcW w:w="757" w:type="dxa"/>
            <w:tcBorders>
              <w:top w:val="nil"/>
              <w:left w:val="nil"/>
              <w:bottom w:val="single" w:sz="4" w:space="0" w:color="000000"/>
              <w:right w:val="single" w:sz="4" w:space="0" w:color="000000"/>
            </w:tcBorders>
            <w:shd w:val="clear" w:color="auto" w:fill="auto"/>
            <w:vAlign w:val="center"/>
          </w:tcPr>
          <w:p w14:paraId="0509BC7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61910B3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1049,41</w:t>
            </w:r>
          </w:p>
        </w:tc>
        <w:tc>
          <w:tcPr>
            <w:tcW w:w="1109" w:type="dxa"/>
            <w:tcBorders>
              <w:top w:val="nil"/>
              <w:left w:val="nil"/>
              <w:bottom w:val="single" w:sz="4" w:space="0" w:color="000000"/>
              <w:right w:val="single" w:sz="4" w:space="0" w:color="000000"/>
            </w:tcBorders>
            <w:shd w:val="clear" w:color="auto" w:fill="auto"/>
            <w:vAlign w:val="center"/>
          </w:tcPr>
          <w:p w14:paraId="1467DD8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294,27</w:t>
            </w:r>
          </w:p>
        </w:tc>
        <w:tc>
          <w:tcPr>
            <w:tcW w:w="625" w:type="dxa"/>
            <w:tcBorders>
              <w:top w:val="nil"/>
              <w:left w:val="nil"/>
              <w:bottom w:val="single" w:sz="4" w:space="0" w:color="000000"/>
              <w:right w:val="single" w:sz="4" w:space="0" w:color="000000"/>
            </w:tcBorders>
            <w:shd w:val="clear" w:color="auto" w:fill="auto"/>
            <w:vAlign w:val="center"/>
          </w:tcPr>
          <w:p w14:paraId="6FA94AE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26299B28"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5A14129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etanol</w:t>
            </w:r>
          </w:p>
        </w:tc>
        <w:tc>
          <w:tcPr>
            <w:tcW w:w="757" w:type="dxa"/>
            <w:tcBorders>
              <w:top w:val="nil"/>
              <w:left w:val="nil"/>
              <w:bottom w:val="single" w:sz="4" w:space="0" w:color="000000"/>
              <w:right w:val="single" w:sz="4" w:space="0" w:color="000000"/>
            </w:tcBorders>
            <w:shd w:val="clear" w:color="auto" w:fill="auto"/>
            <w:vAlign w:val="center"/>
          </w:tcPr>
          <w:p w14:paraId="4F19D8D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2DA15DF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229FAC99"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62AD1C7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0</w:t>
            </w:r>
          </w:p>
        </w:tc>
      </w:tr>
      <w:tr w:rsidR="00E05B53" w:rsidRPr="00E05B53" w14:paraId="741DC940" w14:textId="77777777" w:rsidTr="00822E3C">
        <w:trPr>
          <w:trHeight w:val="285"/>
        </w:trPr>
        <w:tc>
          <w:tcPr>
            <w:tcW w:w="5120" w:type="dxa"/>
            <w:tcBorders>
              <w:top w:val="nil"/>
              <w:left w:val="single" w:sz="4" w:space="0" w:color="000000"/>
              <w:bottom w:val="single" w:sz="4" w:space="0" w:color="000000"/>
              <w:right w:val="single" w:sz="4" w:space="0" w:color="000000"/>
            </w:tcBorders>
            <w:shd w:val="clear" w:color="auto" w:fill="auto"/>
            <w:vAlign w:val="center"/>
          </w:tcPr>
          <w:p w14:paraId="2532218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biodiésel</w:t>
            </w:r>
          </w:p>
        </w:tc>
        <w:tc>
          <w:tcPr>
            <w:tcW w:w="757" w:type="dxa"/>
            <w:tcBorders>
              <w:top w:val="nil"/>
              <w:left w:val="nil"/>
              <w:bottom w:val="single" w:sz="4" w:space="0" w:color="000000"/>
              <w:right w:val="single" w:sz="4" w:space="0" w:color="000000"/>
            </w:tcBorders>
            <w:shd w:val="clear" w:color="auto" w:fill="auto"/>
            <w:vAlign w:val="center"/>
          </w:tcPr>
          <w:p w14:paraId="0F3D034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32B355F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24F6C8A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2A7C0D7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0</w:t>
            </w:r>
          </w:p>
        </w:tc>
      </w:tr>
      <w:tr w:rsidR="00E05B53" w:rsidRPr="00E05B53" w14:paraId="6B5D31B3"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35BE847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combustibles renovables</w:t>
            </w:r>
          </w:p>
        </w:tc>
        <w:tc>
          <w:tcPr>
            <w:tcW w:w="757" w:type="dxa"/>
            <w:tcBorders>
              <w:top w:val="nil"/>
              <w:left w:val="nil"/>
              <w:bottom w:val="single" w:sz="4" w:space="0" w:color="000000"/>
              <w:right w:val="single" w:sz="4" w:space="0" w:color="000000"/>
            </w:tcBorders>
            <w:shd w:val="clear" w:color="auto" w:fill="auto"/>
            <w:vAlign w:val="center"/>
          </w:tcPr>
          <w:p w14:paraId="68ED094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68898AC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7F9F12D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14A3CF8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0</w:t>
            </w:r>
          </w:p>
        </w:tc>
      </w:tr>
      <w:tr w:rsidR="00E05B53" w:rsidRPr="00E05B53" w14:paraId="160ECFCD"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7148A10D"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xml:space="preserve">Consumo total de electricidad no renovable </w:t>
            </w:r>
          </w:p>
        </w:tc>
        <w:tc>
          <w:tcPr>
            <w:tcW w:w="757" w:type="dxa"/>
            <w:tcBorders>
              <w:top w:val="nil"/>
              <w:left w:val="nil"/>
              <w:bottom w:val="single" w:sz="4" w:space="0" w:color="000000"/>
              <w:right w:val="single" w:sz="4" w:space="0" w:color="000000"/>
            </w:tcBorders>
            <w:shd w:val="clear" w:color="auto" w:fill="auto"/>
            <w:vAlign w:val="center"/>
          </w:tcPr>
          <w:p w14:paraId="0A5767B0"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5631771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781,83</w:t>
            </w:r>
          </w:p>
        </w:tc>
        <w:tc>
          <w:tcPr>
            <w:tcW w:w="1109" w:type="dxa"/>
            <w:tcBorders>
              <w:top w:val="nil"/>
              <w:left w:val="nil"/>
              <w:bottom w:val="single" w:sz="4" w:space="0" w:color="000000"/>
              <w:right w:val="single" w:sz="4" w:space="0" w:color="000000"/>
            </w:tcBorders>
            <w:shd w:val="clear" w:color="auto" w:fill="auto"/>
            <w:vAlign w:val="center"/>
          </w:tcPr>
          <w:p w14:paraId="42B1C6D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1526,55</w:t>
            </w:r>
          </w:p>
        </w:tc>
        <w:tc>
          <w:tcPr>
            <w:tcW w:w="625" w:type="dxa"/>
            <w:tcBorders>
              <w:top w:val="nil"/>
              <w:left w:val="nil"/>
              <w:bottom w:val="single" w:sz="4" w:space="0" w:color="000000"/>
              <w:right w:val="single" w:sz="4" w:space="0" w:color="000000"/>
            </w:tcBorders>
            <w:shd w:val="clear" w:color="auto" w:fill="auto"/>
            <w:vAlign w:val="center"/>
          </w:tcPr>
          <w:p w14:paraId="392686D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4541B7D8" w14:textId="77777777" w:rsidTr="00822E3C">
        <w:trPr>
          <w:trHeight w:val="855"/>
        </w:trPr>
        <w:tc>
          <w:tcPr>
            <w:tcW w:w="5120" w:type="dxa"/>
            <w:tcBorders>
              <w:top w:val="nil"/>
              <w:left w:val="single" w:sz="4" w:space="0" w:color="000000"/>
              <w:bottom w:val="single" w:sz="4" w:space="0" w:color="000000"/>
              <w:right w:val="single" w:sz="4" w:space="0" w:color="000000"/>
            </w:tcBorders>
            <w:shd w:val="clear" w:color="auto" w:fill="auto"/>
            <w:vAlign w:val="center"/>
          </w:tcPr>
          <w:p w14:paraId="5146B71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vapor / calefacción / refrigeración y otras energías no renovables</w:t>
            </w:r>
          </w:p>
        </w:tc>
        <w:tc>
          <w:tcPr>
            <w:tcW w:w="757" w:type="dxa"/>
            <w:tcBorders>
              <w:top w:val="nil"/>
              <w:left w:val="nil"/>
              <w:bottom w:val="single" w:sz="4" w:space="0" w:color="000000"/>
              <w:right w:val="single" w:sz="4" w:space="0" w:color="000000"/>
            </w:tcBorders>
            <w:shd w:val="clear" w:color="auto" w:fill="auto"/>
            <w:vAlign w:val="center"/>
          </w:tcPr>
          <w:p w14:paraId="20EA384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547EF17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25020FA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5B1EBCE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0</w:t>
            </w:r>
          </w:p>
        </w:tc>
      </w:tr>
      <w:tr w:rsidR="00E05B53" w:rsidRPr="00E05B53" w14:paraId="38336DA2"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0536AFB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energía de fuente hidráulica</w:t>
            </w:r>
          </w:p>
        </w:tc>
        <w:tc>
          <w:tcPr>
            <w:tcW w:w="757" w:type="dxa"/>
            <w:tcBorders>
              <w:top w:val="nil"/>
              <w:left w:val="nil"/>
              <w:bottom w:val="single" w:sz="4" w:space="0" w:color="000000"/>
              <w:right w:val="single" w:sz="4" w:space="0" w:color="000000"/>
            </w:tcBorders>
            <w:shd w:val="clear" w:color="auto" w:fill="auto"/>
            <w:vAlign w:val="center"/>
          </w:tcPr>
          <w:p w14:paraId="1DFFB59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75E5CE2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4430,4</w:t>
            </w:r>
          </w:p>
        </w:tc>
        <w:tc>
          <w:tcPr>
            <w:tcW w:w="1109" w:type="dxa"/>
            <w:tcBorders>
              <w:top w:val="nil"/>
              <w:left w:val="nil"/>
              <w:bottom w:val="single" w:sz="4" w:space="0" w:color="000000"/>
              <w:right w:val="single" w:sz="4" w:space="0" w:color="000000"/>
            </w:tcBorders>
            <w:shd w:val="clear" w:color="auto" w:fill="auto"/>
            <w:vAlign w:val="center"/>
          </w:tcPr>
          <w:p w14:paraId="0C226A6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4905,21</w:t>
            </w:r>
          </w:p>
        </w:tc>
        <w:tc>
          <w:tcPr>
            <w:tcW w:w="625" w:type="dxa"/>
            <w:tcBorders>
              <w:top w:val="nil"/>
              <w:left w:val="nil"/>
              <w:bottom w:val="single" w:sz="4" w:space="0" w:color="000000"/>
              <w:right w:val="single" w:sz="4" w:space="0" w:color="000000"/>
            </w:tcBorders>
            <w:shd w:val="clear" w:color="auto" w:fill="auto"/>
            <w:vAlign w:val="center"/>
          </w:tcPr>
          <w:p w14:paraId="1F59197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21DF6B8B"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2801B38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energía de fuente fotovoltaica</w:t>
            </w:r>
          </w:p>
        </w:tc>
        <w:tc>
          <w:tcPr>
            <w:tcW w:w="757" w:type="dxa"/>
            <w:tcBorders>
              <w:top w:val="nil"/>
              <w:left w:val="nil"/>
              <w:bottom w:val="single" w:sz="4" w:space="0" w:color="000000"/>
              <w:right w:val="single" w:sz="4" w:space="0" w:color="000000"/>
            </w:tcBorders>
            <w:shd w:val="clear" w:color="auto" w:fill="auto"/>
            <w:vAlign w:val="center"/>
          </w:tcPr>
          <w:p w14:paraId="6451D79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32C81AD0"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36,49</w:t>
            </w:r>
          </w:p>
        </w:tc>
        <w:tc>
          <w:tcPr>
            <w:tcW w:w="1109" w:type="dxa"/>
            <w:tcBorders>
              <w:top w:val="nil"/>
              <w:left w:val="nil"/>
              <w:bottom w:val="single" w:sz="4" w:space="0" w:color="000000"/>
              <w:right w:val="single" w:sz="4" w:space="0" w:color="000000"/>
            </w:tcBorders>
            <w:shd w:val="clear" w:color="auto" w:fill="auto"/>
            <w:vAlign w:val="center"/>
          </w:tcPr>
          <w:p w14:paraId="41B9736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98,82</w:t>
            </w:r>
          </w:p>
        </w:tc>
        <w:tc>
          <w:tcPr>
            <w:tcW w:w="625" w:type="dxa"/>
            <w:tcBorders>
              <w:top w:val="nil"/>
              <w:left w:val="nil"/>
              <w:bottom w:val="single" w:sz="4" w:space="0" w:color="000000"/>
              <w:right w:val="single" w:sz="4" w:space="0" w:color="000000"/>
            </w:tcBorders>
            <w:shd w:val="clear" w:color="auto" w:fill="auto"/>
            <w:vAlign w:val="center"/>
          </w:tcPr>
          <w:p w14:paraId="028E22F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23E37733"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132D6DD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energía de fuente eólica</w:t>
            </w:r>
          </w:p>
        </w:tc>
        <w:tc>
          <w:tcPr>
            <w:tcW w:w="757" w:type="dxa"/>
            <w:tcBorders>
              <w:top w:val="nil"/>
              <w:left w:val="nil"/>
              <w:bottom w:val="single" w:sz="4" w:space="0" w:color="000000"/>
              <w:right w:val="single" w:sz="4" w:space="0" w:color="000000"/>
            </w:tcBorders>
            <w:shd w:val="clear" w:color="auto" w:fill="auto"/>
            <w:vAlign w:val="center"/>
          </w:tcPr>
          <w:p w14:paraId="50DCBB3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3F07C19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15,64</w:t>
            </w:r>
          </w:p>
        </w:tc>
        <w:tc>
          <w:tcPr>
            <w:tcW w:w="1109" w:type="dxa"/>
            <w:tcBorders>
              <w:top w:val="nil"/>
              <w:left w:val="nil"/>
              <w:bottom w:val="single" w:sz="4" w:space="0" w:color="000000"/>
              <w:right w:val="single" w:sz="4" w:space="0" w:color="000000"/>
            </w:tcBorders>
            <w:shd w:val="clear" w:color="auto" w:fill="auto"/>
            <w:vAlign w:val="center"/>
          </w:tcPr>
          <w:p w14:paraId="279B958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16,67</w:t>
            </w:r>
          </w:p>
        </w:tc>
        <w:tc>
          <w:tcPr>
            <w:tcW w:w="625" w:type="dxa"/>
            <w:tcBorders>
              <w:top w:val="nil"/>
              <w:left w:val="nil"/>
              <w:bottom w:val="single" w:sz="4" w:space="0" w:color="000000"/>
              <w:right w:val="single" w:sz="4" w:space="0" w:color="000000"/>
            </w:tcBorders>
            <w:shd w:val="clear" w:color="auto" w:fill="auto"/>
            <w:vAlign w:val="center"/>
          </w:tcPr>
          <w:p w14:paraId="16C5232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7E959669" w14:textId="77777777" w:rsidTr="00822E3C">
        <w:trPr>
          <w:trHeight w:val="855"/>
        </w:trPr>
        <w:tc>
          <w:tcPr>
            <w:tcW w:w="5120" w:type="dxa"/>
            <w:tcBorders>
              <w:top w:val="nil"/>
              <w:left w:val="single" w:sz="4" w:space="0" w:color="000000"/>
              <w:bottom w:val="single" w:sz="4" w:space="0" w:color="000000"/>
              <w:right w:val="single" w:sz="4" w:space="0" w:color="000000"/>
            </w:tcBorders>
            <w:shd w:val="clear" w:color="auto" w:fill="auto"/>
            <w:vAlign w:val="center"/>
          </w:tcPr>
          <w:p w14:paraId="6860B10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de energía de otras fuentes renovables o generadas</w:t>
            </w:r>
          </w:p>
        </w:tc>
        <w:tc>
          <w:tcPr>
            <w:tcW w:w="757" w:type="dxa"/>
            <w:tcBorders>
              <w:top w:val="nil"/>
              <w:left w:val="nil"/>
              <w:bottom w:val="single" w:sz="4" w:space="0" w:color="000000"/>
              <w:right w:val="single" w:sz="4" w:space="0" w:color="000000"/>
            </w:tcBorders>
            <w:shd w:val="clear" w:color="auto" w:fill="auto"/>
            <w:vAlign w:val="center"/>
          </w:tcPr>
          <w:p w14:paraId="60750B2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053A93D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334583E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67,61</w:t>
            </w:r>
          </w:p>
        </w:tc>
        <w:tc>
          <w:tcPr>
            <w:tcW w:w="625" w:type="dxa"/>
            <w:tcBorders>
              <w:top w:val="nil"/>
              <w:left w:val="nil"/>
              <w:bottom w:val="single" w:sz="4" w:space="0" w:color="000000"/>
              <w:right w:val="single" w:sz="4" w:space="0" w:color="000000"/>
            </w:tcBorders>
            <w:shd w:val="clear" w:color="auto" w:fill="auto"/>
            <w:vAlign w:val="center"/>
          </w:tcPr>
          <w:p w14:paraId="0CE3147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4AEE95AA"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4BB83148"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energía eléctrica renovable</w:t>
            </w:r>
          </w:p>
        </w:tc>
        <w:tc>
          <w:tcPr>
            <w:tcW w:w="757" w:type="dxa"/>
            <w:tcBorders>
              <w:top w:val="nil"/>
              <w:left w:val="nil"/>
              <w:bottom w:val="single" w:sz="4" w:space="0" w:color="000000"/>
              <w:right w:val="single" w:sz="4" w:space="0" w:color="000000"/>
            </w:tcBorders>
            <w:shd w:val="clear" w:color="auto" w:fill="auto"/>
            <w:vAlign w:val="center"/>
          </w:tcPr>
          <w:p w14:paraId="744769A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72AD04F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c>
          <w:tcPr>
            <w:tcW w:w="1109" w:type="dxa"/>
            <w:tcBorders>
              <w:top w:val="nil"/>
              <w:left w:val="nil"/>
              <w:bottom w:val="single" w:sz="4" w:space="0" w:color="000000"/>
              <w:right w:val="single" w:sz="4" w:space="0" w:color="000000"/>
            </w:tcBorders>
            <w:shd w:val="clear" w:color="auto" w:fill="auto"/>
            <w:vAlign w:val="center"/>
          </w:tcPr>
          <w:p w14:paraId="72A4FECD"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c>
          <w:tcPr>
            <w:tcW w:w="625" w:type="dxa"/>
            <w:tcBorders>
              <w:top w:val="nil"/>
              <w:left w:val="nil"/>
              <w:bottom w:val="single" w:sz="4" w:space="0" w:color="000000"/>
              <w:right w:val="single" w:sz="4" w:space="0" w:color="000000"/>
            </w:tcBorders>
            <w:shd w:val="clear" w:color="auto" w:fill="auto"/>
            <w:vAlign w:val="center"/>
          </w:tcPr>
          <w:p w14:paraId="3ECFF4C9"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03170AE8"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3DF0820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energía renovable</w:t>
            </w:r>
          </w:p>
        </w:tc>
        <w:tc>
          <w:tcPr>
            <w:tcW w:w="757" w:type="dxa"/>
            <w:tcBorders>
              <w:top w:val="nil"/>
              <w:left w:val="nil"/>
              <w:bottom w:val="single" w:sz="4" w:space="0" w:color="000000"/>
              <w:right w:val="single" w:sz="4" w:space="0" w:color="000000"/>
            </w:tcBorders>
            <w:shd w:val="clear" w:color="auto" w:fill="auto"/>
            <w:vAlign w:val="center"/>
          </w:tcPr>
          <w:p w14:paraId="4EB86C1B"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1418186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4482,53</w:t>
            </w:r>
          </w:p>
        </w:tc>
        <w:tc>
          <w:tcPr>
            <w:tcW w:w="1109" w:type="dxa"/>
            <w:tcBorders>
              <w:top w:val="nil"/>
              <w:left w:val="nil"/>
              <w:bottom w:val="single" w:sz="4" w:space="0" w:color="000000"/>
              <w:right w:val="single" w:sz="4" w:space="0" w:color="000000"/>
            </w:tcBorders>
            <w:shd w:val="clear" w:color="auto" w:fill="auto"/>
            <w:vAlign w:val="center"/>
          </w:tcPr>
          <w:p w14:paraId="7B6E1EE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5088,31</w:t>
            </w:r>
          </w:p>
        </w:tc>
        <w:tc>
          <w:tcPr>
            <w:tcW w:w="625" w:type="dxa"/>
            <w:tcBorders>
              <w:top w:val="nil"/>
              <w:left w:val="nil"/>
              <w:bottom w:val="single" w:sz="4" w:space="0" w:color="000000"/>
              <w:right w:val="single" w:sz="4" w:space="0" w:color="000000"/>
            </w:tcBorders>
            <w:shd w:val="clear" w:color="auto" w:fill="auto"/>
            <w:vAlign w:val="center"/>
          </w:tcPr>
          <w:p w14:paraId="4AA3A5A8"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1EB2AC66"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260A16D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energía no renovable</w:t>
            </w:r>
          </w:p>
        </w:tc>
        <w:tc>
          <w:tcPr>
            <w:tcW w:w="757" w:type="dxa"/>
            <w:tcBorders>
              <w:top w:val="nil"/>
              <w:left w:val="nil"/>
              <w:bottom w:val="single" w:sz="4" w:space="0" w:color="000000"/>
              <w:right w:val="single" w:sz="4" w:space="0" w:color="000000"/>
            </w:tcBorders>
            <w:shd w:val="clear" w:color="auto" w:fill="auto"/>
            <w:vAlign w:val="center"/>
          </w:tcPr>
          <w:p w14:paraId="6C1ADE31"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5DCAF57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1831,24</w:t>
            </w:r>
          </w:p>
        </w:tc>
        <w:tc>
          <w:tcPr>
            <w:tcW w:w="1109" w:type="dxa"/>
            <w:tcBorders>
              <w:top w:val="nil"/>
              <w:left w:val="nil"/>
              <w:bottom w:val="single" w:sz="4" w:space="0" w:color="000000"/>
              <w:right w:val="single" w:sz="4" w:space="0" w:color="000000"/>
            </w:tcBorders>
            <w:shd w:val="clear" w:color="auto" w:fill="auto"/>
            <w:vAlign w:val="center"/>
          </w:tcPr>
          <w:p w14:paraId="4E378CD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1820,82</w:t>
            </w:r>
          </w:p>
        </w:tc>
        <w:tc>
          <w:tcPr>
            <w:tcW w:w="625" w:type="dxa"/>
            <w:tcBorders>
              <w:top w:val="nil"/>
              <w:left w:val="nil"/>
              <w:bottom w:val="single" w:sz="4" w:space="0" w:color="000000"/>
              <w:right w:val="single" w:sz="4" w:space="0" w:color="000000"/>
            </w:tcBorders>
            <w:shd w:val="clear" w:color="auto" w:fill="auto"/>
            <w:vAlign w:val="center"/>
          </w:tcPr>
          <w:p w14:paraId="442370FE"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4556AAA3"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478C7CA7"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Consumo total de energía interno</w:t>
            </w:r>
          </w:p>
        </w:tc>
        <w:tc>
          <w:tcPr>
            <w:tcW w:w="757" w:type="dxa"/>
            <w:tcBorders>
              <w:top w:val="nil"/>
              <w:left w:val="nil"/>
              <w:bottom w:val="single" w:sz="4" w:space="0" w:color="000000"/>
              <w:right w:val="single" w:sz="4" w:space="0" w:color="000000"/>
            </w:tcBorders>
            <w:shd w:val="clear" w:color="auto" w:fill="auto"/>
            <w:vAlign w:val="center"/>
          </w:tcPr>
          <w:p w14:paraId="7396E3F6"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MWh</w:t>
            </w:r>
          </w:p>
        </w:tc>
        <w:tc>
          <w:tcPr>
            <w:tcW w:w="1217" w:type="dxa"/>
            <w:tcBorders>
              <w:top w:val="nil"/>
              <w:left w:val="nil"/>
              <w:bottom w:val="single" w:sz="4" w:space="0" w:color="000000"/>
              <w:right w:val="single" w:sz="4" w:space="0" w:color="000000"/>
            </w:tcBorders>
            <w:shd w:val="clear" w:color="auto" w:fill="auto"/>
            <w:vAlign w:val="center"/>
          </w:tcPr>
          <w:p w14:paraId="7EB457A3"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6313,77</w:t>
            </w:r>
          </w:p>
        </w:tc>
        <w:tc>
          <w:tcPr>
            <w:tcW w:w="1109" w:type="dxa"/>
            <w:tcBorders>
              <w:top w:val="nil"/>
              <w:left w:val="nil"/>
              <w:bottom w:val="single" w:sz="4" w:space="0" w:color="000000"/>
              <w:right w:val="single" w:sz="4" w:space="0" w:color="000000"/>
            </w:tcBorders>
            <w:shd w:val="clear" w:color="auto" w:fill="auto"/>
            <w:vAlign w:val="center"/>
          </w:tcPr>
          <w:p w14:paraId="67931168"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6909,13</w:t>
            </w:r>
          </w:p>
        </w:tc>
        <w:tc>
          <w:tcPr>
            <w:tcW w:w="625" w:type="dxa"/>
            <w:tcBorders>
              <w:top w:val="nil"/>
              <w:left w:val="nil"/>
              <w:bottom w:val="single" w:sz="4" w:space="0" w:color="000000"/>
              <w:right w:val="single" w:sz="4" w:space="0" w:color="000000"/>
            </w:tcBorders>
            <w:shd w:val="clear" w:color="auto" w:fill="auto"/>
            <w:vAlign w:val="center"/>
          </w:tcPr>
          <w:p w14:paraId="100FB31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396BBC61"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28DCFFEA"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Costo total del consumo de energía interno</w:t>
            </w:r>
          </w:p>
        </w:tc>
        <w:tc>
          <w:tcPr>
            <w:tcW w:w="757" w:type="dxa"/>
            <w:tcBorders>
              <w:top w:val="nil"/>
              <w:left w:val="nil"/>
              <w:bottom w:val="single" w:sz="4" w:space="0" w:color="000000"/>
              <w:right w:val="single" w:sz="4" w:space="0" w:color="000000"/>
            </w:tcBorders>
            <w:shd w:val="clear" w:color="auto" w:fill="auto"/>
            <w:vAlign w:val="center"/>
          </w:tcPr>
          <w:p w14:paraId="41527F89"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COP</w:t>
            </w:r>
          </w:p>
        </w:tc>
        <w:tc>
          <w:tcPr>
            <w:tcW w:w="1217" w:type="dxa"/>
            <w:tcBorders>
              <w:top w:val="nil"/>
              <w:left w:val="nil"/>
              <w:bottom w:val="single" w:sz="4" w:space="0" w:color="000000"/>
              <w:right w:val="single" w:sz="4" w:space="0" w:color="000000"/>
            </w:tcBorders>
            <w:shd w:val="clear" w:color="auto" w:fill="auto"/>
            <w:vAlign w:val="center"/>
          </w:tcPr>
          <w:p w14:paraId="14F3883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1152372087</w:t>
            </w:r>
          </w:p>
        </w:tc>
        <w:tc>
          <w:tcPr>
            <w:tcW w:w="1109" w:type="dxa"/>
            <w:tcBorders>
              <w:top w:val="nil"/>
              <w:left w:val="nil"/>
              <w:bottom w:val="single" w:sz="4" w:space="0" w:color="000000"/>
              <w:right w:val="single" w:sz="4" w:space="0" w:color="000000"/>
            </w:tcBorders>
            <w:shd w:val="clear" w:color="auto" w:fill="auto"/>
            <w:vAlign w:val="center"/>
          </w:tcPr>
          <w:p w14:paraId="5DBD2022"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682639211</w:t>
            </w:r>
          </w:p>
        </w:tc>
        <w:tc>
          <w:tcPr>
            <w:tcW w:w="625" w:type="dxa"/>
            <w:tcBorders>
              <w:top w:val="nil"/>
              <w:left w:val="nil"/>
              <w:bottom w:val="single" w:sz="4" w:space="0" w:color="000000"/>
              <w:right w:val="single" w:sz="4" w:space="0" w:color="000000"/>
            </w:tcBorders>
            <w:shd w:val="clear" w:color="auto" w:fill="auto"/>
            <w:vAlign w:val="center"/>
          </w:tcPr>
          <w:p w14:paraId="3B86B21C"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r w:rsidR="00E05B53" w:rsidRPr="00E05B53" w14:paraId="1CAD0BAB" w14:textId="77777777" w:rsidTr="00822E3C">
        <w:trPr>
          <w:trHeight w:val="570"/>
        </w:trPr>
        <w:tc>
          <w:tcPr>
            <w:tcW w:w="5120" w:type="dxa"/>
            <w:tcBorders>
              <w:top w:val="nil"/>
              <w:left w:val="single" w:sz="4" w:space="0" w:color="000000"/>
              <w:bottom w:val="single" w:sz="4" w:space="0" w:color="000000"/>
              <w:right w:val="single" w:sz="4" w:space="0" w:color="000000"/>
            </w:tcBorders>
            <w:shd w:val="clear" w:color="auto" w:fill="auto"/>
            <w:vAlign w:val="center"/>
          </w:tcPr>
          <w:p w14:paraId="7526B7C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Porcentaje del gasto operativo total del consumo de energía</w:t>
            </w:r>
          </w:p>
        </w:tc>
        <w:tc>
          <w:tcPr>
            <w:tcW w:w="757" w:type="dxa"/>
            <w:tcBorders>
              <w:top w:val="nil"/>
              <w:left w:val="nil"/>
              <w:bottom w:val="single" w:sz="4" w:space="0" w:color="000000"/>
              <w:right w:val="single" w:sz="4" w:space="0" w:color="000000"/>
            </w:tcBorders>
            <w:shd w:val="clear" w:color="auto" w:fill="auto"/>
            <w:vAlign w:val="center"/>
          </w:tcPr>
          <w:p w14:paraId="6964D4EF"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w:t>
            </w:r>
          </w:p>
        </w:tc>
        <w:tc>
          <w:tcPr>
            <w:tcW w:w="1217" w:type="dxa"/>
            <w:tcBorders>
              <w:top w:val="nil"/>
              <w:left w:val="nil"/>
              <w:bottom w:val="single" w:sz="4" w:space="0" w:color="000000"/>
              <w:right w:val="single" w:sz="4" w:space="0" w:color="000000"/>
            </w:tcBorders>
            <w:shd w:val="clear" w:color="auto" w:fill="auto"/>
            <w:vAlign w:val="center"/>
          </w:tcPr>
          <w:p w14:paraId="5C49C2E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1109" w:type="dxa"/>
            <w:tcBorders>
              <w:top w:val="nil"/>
              <w:left w:val="nil"/>
              <w:bottom w:val="single" w:sz="4" w:space="0" w:color="000000"/>
              <w:right w:val="single" w:sz="4" w:space="0" w:color="000000"/>
            </w:tcBorders>
            <w:shd w:val="clear" w:color="auto" w:fill="auto"/>
            <w:vAlign w:val="center"/>
          </w:tcPr>
          <w:p w14:paraId="14C69E84"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0</w:t>
            </w:r>
          </w:p>
        </w:tc>
        <w:tc>
          <w:tcPr>
            <w:tcW w:w="625" w:type="dxa"/>
            <w:tcBorders>
              <w:top w:val="nil"/>
              <w:left w:val="nil"/>
              <w:bottom w:val="single" w:sz="4" w:space="0" w:color="000000"/>
              <w:right w:val="single" w:sz="4" w:space="0" w:color="000000"/>
            </w:tcBorders>
            <w:shd w:val="clear" w:color="auto" w:fill="auto"/>
            <w:vAlign w:val="center"/>
          </w:tcPr>
          <w:p w14:paraId="22BBE0D5" w14:textId="77777777" w:rsidR="00E05B53" w:rsidRPr="00E05B53" w:rsidRDefault="00E05B53" w:rsidP="00E05B53">
            <w:pPr>
              <w:spacing w:after="0" w:line="240" w:lineRule="auto"/>
              <w:jc w:val="both"/>
              <w:rPr>
                <w:rFonts w:ascii="Tahoma" w:eastAsia="Arial" w:hAnsi="Tahoma" w:cs="Tahoma"/>
                <w:kern w:val="0"/>
                <w:lang w:val="es-ES" w:eastAsia="es-CO"/>
                <w14:ligatures w14:val="none"/>
              </w:rPr>
            </w:pPr>
            <w:r w:rsidRPr="00E05B53">
              <w:rPr>
                <w:rFonts w:ascii="Tahoma" w:eastAsia="Arial" w:hAnsi="Tahoma" w:cs="Tahoma"/>
                <w:kern w:val="0"/>
                <w:lang w:val="es-ES" w:eastAsia="es-CO"/>
                <w14:ligatures w14:val="none"/>
              </w:rPr>
              <w:t> </w:t>
            </w:r>
          </w:p>
        </w:tc>
      </w:tr>
    </w:tbl>
    <w:p w14:paraId="35A5731E"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 xml:space="preserve">GRI 302-1 </w:t>
      </w:r>
    </w:p>
    <w:p w14:paraId="273E1121"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Metodología de cálculo para Inventario GEI</w:t>
      </w:r>
    </w:p>
    <w:p w14:paraId="1323E08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La metodología de cálculo para determinar los factores de emisión se basa en datos consolidados en galones y se aplicó conversión a MWh aplicando la siguiente </w:t>
      </w:r>
      <w:r w:rsidRPr="00E05B53">
        <w:rPr>
          <w:rFonts w:ascii="Tahoma" w:eastAsia="Tahoma" w:hAnsi="Tahoma" w:cs="Tahoma"/>
          <w:kern w:val="0"/>
          <w:lang w:val="es-ES" w:eastAsia="es-CO"/>
          <w14:ligatures w14:val="none"/>
        </w:rPr>
        <w:lastRenderedPageBreak/>
        <w:t>fórmula: Consumo (gal) * (3,785 l / 1 gal) * densidad (kg/l) * Poder calorífico (MJ/Kg) * (0,00028 MWh/MJ).</w:t>
      </w:r>
    </w:p>
    <w:p w14:paraId="626A589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Calculadora de emisiones UPME. Allí se emplearon las siguientes referencias: Gasolina -&gt; Gasolina E10 (Comercial) </w:t>
      </w:r>
      <w:hyperlink r:id="rId47">
        <w:r w:rsidRPr="00E05B53">
          <w:rPr>
            <w:rFonts w:ascii="Tahoma" w:eastAsia="Tahoma" w:hAnsi="Tahoma" w:cs="Tahoma"/>
            <w:color w:val="0563C1"/>
            <w:kern w:val="0"/>
            <w:u w:val="single"/>
            <w:lang w:val="es-ES" w:eastAsia="es-CO"/>
            <w14:ligatures w14:val="none"/>
          </w:rPr>
          <w:t>https://app.upme.gov.co/Calculadora_Emisiones1/new/calculadora.html</w:t>
        </w:r>
      </w:hyperlink>
    </w:p>
    <w:p w14:paraId="24D56AC1"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Variación con respecto al año anterior:</w:t>
      </w:r>
    </w:p>
    <w:p w14:paraId="2A6D36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En el consumo de ACPM aumentó el consumo del combustible en las plantas de emergencia de las subestaciones debido a situaciones contingentes que obligaron a aumentar su operación. En relación con el consumo de gasolina no hubo una diferencia significativa a destacar</w:t>
      </w:r>
    </w:p>
    <w:p w14:paraId="3ABF2C39"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Metas de consumo y producción de energía</w:t>
      </w:r>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3"/>
        <w:gridCol w:w="975"/>
        <w:gridCol w:w="1002"/>
        <w:gridCol w:w="1101"/>
        <w:gridCol w:w="933"/>
        <w:gridCol w:w="976"/>
        <w:gridCol w:w="1999"/>
      </w:tblGrid>
      <w:tr w:rsidR="00E05B53" w:rsidRPr="00E05B53" w14:paraId="307B7132" w14:textId="77777777" w:rsidTr="00822E3C">
        <w:tc>
          <w:tcPr>
            <w:tcW w:w="1373" w:type="dxa"/>
          </w:tcPr>
          <w:p w14:paraId="53105395"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Metas de energía renovable</w:t>
            </w:r>
          </w:p>
        </w:tc>
        <w:tc>
          <w:tcPr>
            <w:tcW w:w="975" w:type="dxa"/>
          </w:tcPr>
          <w:p w14:paraId="346362E8"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Año base</w:t>
            </w:r>
          </w:p>
        </w:tc>
        <w:tc>
          <w:tcPr>
            <w:tcW w:w="1002" w:type="dxa"/>
          </w:tcPr>
          <w:p w14:paraId="63D627B6"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Año Inicio</w:t>
            </w:r>
          </w:p>
        </w:tc>
        <w:tc>
          <w:tcPr>
            <w:tcW w:w="1101" w:type="dxa"/>
          </w:tcPr>
          <w:p w14:paraId="29BE4B42"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Año Objetivo</w:t>
            </w:r>
          </w:p>
        </w:tc>
        <w:tc>
          <w:tcPr>
            <w:tcW w:w="933" w:type="dxa"/>
          </w:tcPr>
          <w:p w14:paraId="0459EA2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 xml:space="preserve">KPI </w:t>
            </w:r>
          </w:p>
        </w:tc>
        <w:tc>
          <w:tcPr>
            <w:tcW w:w="976" w:type="dxa"/>
          </w:tcPr>
          <w:p w14:paraId="0878EFCE"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KPI – año base</w:t>
            </w:r>
          </w:p>
        </w:tc>
        <w:tc>
          <w:tcPr>
            <w:tcW w:w="1999" w:type="dxa"/>
          </w:tcPr>
          <w:p w14:paraId="22945B33"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KPI – año objetivo</w:t>
            </w:r>
          </w:p>
        </w:tc>
      </w:tr>
      <w:tr w:rsidR="00E05B53" w:rsidRPr="00E05B53" w14:paraId="6A42788E" w14:textId="77777777" w:rsidTr="00822E3C">
        <w:tc>
          <w:tcPr>
            <w:tcW w:w="1373" w:type="dxa"/>
          </w:tcPr>
          <w:p w14:paraId="0AB2517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Metas producción energía renovable</w:t>
            </w:r>
            <w:r w:rsidRPr="00E05B53">
              <w:rPr>
                <w:rFonts w:ascii="Tahoma" w:eastAsia="Tahoma" w:hAnsi="Tahoma" w:cs="Tahoma"/>
                <w:kern w:val="0"/>
                <w:lang w:val="es-ES" w:eastAsia="es-CO"/>
                <w14:ligatures w14:val="none"/>
              </w:rPr>
              <w:tab/>
            </w:r>
          </w:p>
        </w:tc>
        <w:tc>
          <w:tcPr>
            <w:tcW w:w="975" w:type="dxa"/>
          </w:tcPr>
          <w:p w14:paraId="75EB6AC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002" w:type="dxa"/>
          </w:tcPr>
          <w:p w14:paraId="636CA23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01" w:type="dxa"/>
          </w:tcPr>
          <w:p w14:paraId="599737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33" w:type="dxa"/>
          </w:tcPr>
          <w:p w14:paraId="1940983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6" w:type="dxa"/>
          </w:tcPr>
          <w:p w14:paraId="5E1BFC5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99" w:type="dxa"/>
          </w:tcPr>
          <w:p w14:paraId="72ACCD0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E52BA21" w14:textId="77777777" w:rsidTr="00822E3C">
        <w:tc>
          <w:tcPr>
            <w:tcW w:w="1373" w:type="dxa"/>
          </w:tcPr>
          <w:p w14:paraId="1317D8E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Metas consumo energía renovable</w:t>
            </w:r>
          </w:p>
        </w:tc>
        <w:tc>
          <w:tcPr>
            <w:tcW w:w="975" w:type="dxa"/>
          </w:tcPr>
          <w:p w14:paraId="14E8A5F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002" w:type="dxa"/>
          </w:tcPr>
          <w:p w14:paraId="3C33568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01" w:type="dxa"/>
          </w:tcPr>
          <w:p w14:paraId="188B97E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33" w:type="dxa"/>
          </w:tcPr>
          <w:p w14:paraId="3E4EE2A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6" w:type="dxa"/>
          </w:tcPr>
          <w:p w14:paraId="735A6F9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99" w:type="dxa"/>
          </w:tcPr>
          <w:p w14:paraId="6F78F4C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16BB3D03"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302-1</w:t>
      </w:r>
    </w:p>
    <w:p w14:paraId="28205855"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p>
    <w:p w14:paraId="7BE9903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Intensidad del consumo de energía</w:t>
      </w:r>
    </w:p>
    <w:tbl>
      <w:tblPr>
        <w:tblW w:w="7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1168"/>
        <w:gridCol w:w="992"/>
        <w:gridCol w:w="992"/>
        <w:gridCol w:w="1134"/>
      </w:tblGrid>
      <w:tr w:rsidR="00E05B53" w:rsidRPr="00E05B53" w14:paraId="6CCE7B4D" w14:textId="77777777" w:rsidTr="00822E3C">
        <w:tc>
          <w:tcPr>
            <w:tcW w:w="3539" w:type="dxa"/>
          </w:tcPr>
          <w:p w14:paraId="4A4E77EE"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Intensidad</w:t>
            </w:r>
          </w:p>
        </w:tc>
        <w:tc>
          <w:tcPr>
            <w:tcW w:w="1168" w:type="dxa"/>
          </w:tcPr>
          <w:p w14:paraId="3F5BB928"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U.medida</w:t>
            </w:r>
          </w:p>
        </w:tc>
        <w:tc>
          <w:tcPr>
            <w:tcW w:w="992" w:type="dxa"/>
          </w:tcPr>
          <w:p w14:paraId="3CDB0940"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992" w:type="dxa"/>
          </w:tcPr>
          <w:p w14:paraId="39FEAE4C"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1134" w:type="dxa"/>
          </w:tcPr>
          <w:p w14:paraId="7A716F79"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51277031" w14:textId="77777777" w:rsidTr="00822E3C">
        <w:tc>
          <w:tcPr>
            <w:tcW w:w="3539" w:type="dxa"/>
          </w:tcPr>
          <w:p w14:paraId="485D2D0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Cantidad de energía generada</w:t>
            </w:r>
          </w:p>
        </w:tc>
        <w:tc>
          <w:tcPr>
            <w:tcW w:w="1168" w:type="dxa"/>
          </w:tcPr>
          <w:p w14:paraId="39959A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3B4387C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28BD2A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34" w:type="dxa"/>
          </w:tcPr>
          <w:p w14:paraId="7C151DD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74D445E" w14:textId="77777777" w:rsidTr="00822E3C">
        <w:tc>
          <w:tcPr>
            <w:tcW w:w="3539" w:type="dxa"/>
          </w:tcPr>
          <w:p w14:paraId="7107D79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Intensidad del consumo de energía</w:t>
            </w:r>
          </w:p>
        </w:tc>
        <w:tc>
          <w:tcPr>
            <w:tcW w:w="1168" w:type="dxa"/>
          </w:tcPr>
          <w:p w14:paraId="54E6F39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3B1B5D4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23D6C8A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34" w:type="dxa"/>
          </w:tcPr>
          <w:p w14:paraId="01DBC62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1A44BC92" w14:textId="77777777" w:rsidR="00E05B53" w:rsidRPr="007109C4" w:rsidRDefault="00E05B53" w:rsidP="00E05B53">
      <w:pPr>
        <w:tabs>
          <w:tab w:val="left" w:pos="860"/>
          <w:tab w:val="left" w:pos="1290"/>
        </w:tabs>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302-3</w:t>
      </w:r>
    </w:p>
    <w:p w14:paraId="5A02DF2A"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lastRenderedPageBreak/>
        <w:t>Agua</w:t>
      </w:r>
    </w:p>
    <w:p w14:paraId="3B383BF4"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303-1</w:t>
      </w:r>
    </w:p>
    <w:p w14:paraId="7760D67B"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Fuentes hídricas</w:t>
      </w:r>
    </w:p>
    <w:p w14:paraId="59111A8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Colaboración con grupos de interés para mitigar impactos:</w:t>
      </w:r>
    </w:p>
    <w:p w14:paraId="003391D3"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Metas y objetivos hídricos:</w:t>
      </w:r>
    </w:p>
    <w:p w14:paraId="556E0AE4"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Metodologías usadas para identificar impactos:</w:t>
      </w:r>
    </w:p>
    <w:tbl>
      <w:tblPr>
        <w:tblW w:w="8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6"/>
        <w:gridCol w:w="1791"/>
        <w:gridCol w:w="1927"/>
        <w:gridCol w:w="2009"/>
        <w:gridCol w:w="1532"/>
      </w:tblGrid>
      <w:tr w:rsidR="00E05B53" w:rsidRPr="00E05B53" w14:paraId="2F5C21A4" w14:textId="77777777" w:rsidTr="00822E3C">
        <w:trPr>
          <w:trHeight w:val="1152"/>
        </w:trPr>
        <w:tc>
          <w:tcPr>
            <w:tcW w:w="1436" w:type="dxa"/>
          </w:tcPr>
          <w:p w14:paraId="79A4B25B" w14:textId="77777777" w:rsidR="00E05B53" w:rsidRPr="00E05B53" w:rsidRDefault="00E05B53" w:rsidP="00E05B53">
            <w:pPr>
              <w:tabs>
                <w:tab w:val="left" w:pos="1290"/>
              </w:tabs>
              <w:jc w:val="both"/>
              <w:rPr>
                <w:rFonts w:ascii="Tahoma" w:eastAsia="Tahoma" w:hAnsi="Tahoma" w:cs="Tahoma"/>
                <w:kern w:val="0"/>
                <w:sz w:val="20"/>
                <w:szCs w:val="20"/>
                <w:lang w:val="es-ES" w:eastAsia="es-CO"/>
                <w14:ligatures w14:val="none"/>
              </w:rPr>
            </w:pPr>
            <w:r w:rsidRPr="00E05B53">
              <w:rPr>
                <w:rFonts w:ascii="Tahoma" w:eastAsia="Tahoma" w:hAnsi="Tahoma" w:cs="Tahoma"/>
                <w:kern w:val="0"/>
                <w:sz w:val="20"/>
                <w:szCs w:val="20"/>
                <w:lang w:val="es-ES" w:eastAsia="es-CO"/>
                <w14:ligatures w14:val="none"/>
              </w:rPr>
              <w:t>Fuente (cuenca)</w:t>
            </w:r>
          </w:p>
        </w:tc>
        <w:tc>
          <w:tcPr>
            <w:tcW w:w="1791" w:type="dxa"/>
          </w:tcPr>
          <w:p w14:paraId="3E5B3A01" w14:textId="77777777" w:rsidR="00E05B53" w:rsidRPr="00E05B53" w:rsidRDefault="00E05B53" w:rsidP="00E05B53">
            <w:pPr>
              <w:tabs>
                <w:tab w:val="left" w:pos="1290"/>
              </w:tabs>
              <w:jc w:val="both"/>
              <w:rPr>
                <w:rFonts w:ascii="Tahoma" w:eastAsia="Tahoma" w:hAnsi="Tahoma" w:cs="Tahoma"/>
                <w:kern w:val="0"/>
                <w:sz w:val="20"/>
                <w:szCs w:val="20"/>
                <w:lang w:val="es-ES" w:eastAsia="es-CO"/>
                <w14:ligatures w14:val="none"/>
              </w:rPr>
            </w:pPr>
            <w:r w:rsidRPr="00E05B53">
              <w:rPr>
                <w:rFonts w:ascii="Tahoma" w:eastAsia="Tahoma" w:hAnsi="Tahoma" w:cs="Tahoma"/>
                <w:kern w:val="0"/>
                <w:sz w:val="20"/>
                <w:szCs w:val="20"/>
                <w:lang w:val="es-ES" w:eastAsia="es-CO"/>
                <w14:ligatures w14:val="none"/>
              </w:rPr>
              <w:t>Actividad relacionada con el recurso hídrico</w:t>
            </w:r>
          </w:p>
        </w:tc>
        <w:tc>
          <w:tcPr>
            <w:tcW w:w="1927" w:type="dxa"/>
          </w:tcPr>
          <w:p w14:paraId="4CCD163F" w14:textId="77777777" w:rsidR="00E05B53" w:rsidRPr="00E05B53" w:rsidRDefault="00E05B53" w:rsidP="00E05B53">
            <w:pPr>
              <w:tabs>
                <w:tab w:val="left" w:pos="1290"/>
              </w:tabs>
              <w:jc w:val="both"/>
              <w:rPr>
                <w:rFonts w:ascii="Tahoma" w:eastAsia="Tahoma" w:hAnsi="Tahoma" w:cs="Tahoma"/>
                <w:kern w:val="0"/>
                <w:sz w:val="20"/>
                <w:szCs w:val="20"/>
                <w:lang w:val="es-ES" w:eastAsia="es-CO"/>
                <w14:ligatures w14:val="none"/>
              </w:rPr>
            </w:pPr>
            <w:r w:rsidRPr="00E05B53">
              <w:rPr>
                <w:rFonts w:ascii="Tahoma" w:eastAsia="Tahoma" w:hAnsi="Tahoma" w:cs="Tahoma"/>
                <w:kern w:val="0"/>
                <w:sz w:val="20"/>
                <w:szCs w:val="20"/>
                <w:lang w:val="es-ES" w:eastAsia="es-CO"/>
                <w14:ligatures w14:val="none"/>
              </w:rPr>
              <w:t>Impactos al agua relacionadas con la actividad realizada</w:t>
            </w:r>
          </w:p>
        </w:tc>
        <w:tc>
          <w:tcPr>
            <w:tcW w:w="2009" w:type="dxa"/>
          </w:tcPr>
          <w:p w14:paraId="72DB5F93" w14:textId="77777777" w:rsidR="00E05B53" w:rsidRPr="00E05B53" w:rsidRDefault="00E05B53" w:rsidP="00E05B53">
            <w:pPr>
              <w:tabs>
                <w:tab w:val="left" w:pos="1290"/>
              </w:tabs>
              <w:jc w:val="both"/>
              <w:rPr>
                <w:rFonts w:ascii="Tahoma" w:eastAsia="Tahoma" w:hAnsi="Tahoma" w:cs="Tahoma"/>
                <w:kern w:val="0"/>
                <w:sz w:val="20"/>
                <w:szCs w:val="20"/>
                <w:lang w:val="es-ES" w:eastAsia="es-CO"/>
                <w14:ligatures w14:val="none"/>
              </w:rPr>
            </w:pPr>
            <w:r w:rsidRPr="00E05B53">
              <w:rPr>
                <w:rFonts w:ascii="Tahoma" w:eastAsia="Tahoma" w:hAnsi="Tahoma" w:cs="Tahoma"/>
                <w:kern w:val="0"/>
                <w:sz w:val="20"/>
                <w:szCs w:val="20"/>
                <w:lang w:val="es-ES" w:eastAsia="es-CO"/>
                <w14:ligatures w14:val="none"/>
              </w:rPr>
              <w:t>Alcance de Evaluaciones y Calendario para la identificación de impactos</w:t>
            </w:r>
          </w:p>
        </w:tc>
        <w:tc>
          <w:tcPr>
            <w:tcW w:w="1532" w:type="dxa"/>
          </w:tcPr>
          <w:p w14:paraId="64EE91CC" w14:textId="77777777" w:rsidR="00E05B53" w:rsidRPr="00E05B53" w:rsidRDefault="00E05B53" w:rsidP="00E05B53">
            <w:pPr>
              <w:tabs>
                <w:tab w:val="left" w:pos="1290"/>
              </w:tabs>
              <w:jc w:val="both"/>
              <w:rPr>
                <w:rFonts w:ascii="Tahoma" w:eastAsia="Tahoma" w:hAnsi="Tahoma" w:cs="Tahoma"/>
                <w:kern w:val="0"/>
                <w:sz w:val="20"/>
                <w:szCs w:val="20"/>
                <w:lang w:val="es-ES" w:eastAsia="es-CO"/>
                <w14:ligatures w14:val="none"/>
              </w:rPr>
            </w:pPr>
            <w:r w:rsidRPr="00E05B53">
              <w:rPr>
                <w:rFonts w:ascii="Tahoma" w:eastAsia="Tahoma" w:hAnsi="Tahoma" w:cs="Tahoma"/>
                <w:kern w:val="0"/>
                <w:sz w:val="20"/>
                <w:szCs w:val="20"/>
                <w:lang w:val="es-ES" w:eastAsia="es-CO"/>
                <w14:ligatures w14:val="none"/>
              </w:rPr>
              <w:t>Relación comercial</w:t>
            </w:r>
          </w:p>
        </w:tc>
      </w:tr>
      <w:tr w:rsidR="00E05B53" w:rsidRPr="00E05B53" w14:paraId="03094A1A" w14:textId="77777777" w:rsidTr="00822E3C">
        <w:trPr>
          <w:trHeight w:val="295"/>
        </w:trPr>
        <w:tc>
          <w:tcPr>
            <w:tcW w:w="1436" w:type="dxa"/>
          </w:tcPr>
          <w:p w14:paraId="7C8364F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57C485F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2954E7F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3952E8C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3CB83D0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6500061" w14:textId="77777777" w:rsidTr="00822E3C">
        <w:trPr>
          <w:trHeight w:val="295"/>
        </w:trPr>
        <w:tc>
          <w:tcPr>
            <w:tcW w:w="1436" w:type="dxa"/>
          </w:tcPr>
          <w:p w14:paraId="166C68C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57FCE0B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1B4549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4C26A97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023F028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CB678FD" w14:textId="77777777" w:rsidTr="00822E3C">
        <w:trPr>
          <w:trHeight w:val="280"/>
        </w:trPr>
        <w:tc>
          <w:tcPr>
            <w:tcW w:w="1436" w:type="dxa"/>
          </w:tcPr>
          <w:p w14:paraId="062B6A3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4A95F2A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758ADF7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6BAC8AA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5551585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8FF1BA0" w14:textId="77777777" w:rsidTr="00822E3C">
        <w:trPr>
          <w:trHeight w:val="295"/>
        </w:trPr>
        <w:tc>
          <w:tcPr>
            <w:tcW w:w="1436" w:type="dxa"/>
          </w:tcPr>
          <w:p w14:paraId="6F4C600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600C7F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5A72EA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0599C1C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76ABD45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7487DAA" w14:textId="77777777" w:rsidTr="00822E3C">
        <w:trPr>
          <w:trHeight w:val="295"/>
        </w:trPr>
        <w:tc>
          <w:tcPr>
            <w:tcW w:w="1436" w:type="dxa"/>
          </w:tcPr>
          <w:p w14:paraId="2DD39E2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2A67B7A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67FE62C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2521557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0AD7E3B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C53F1D2" w14:textId="77777777" w:rsidTr="00822E3C">
        <w:trPr>
          <w:trHeight w:val="295"/>
        </w:trPr>
        <w:tc>
          <w:tcPr>
            <w:tcW w:w="1436" w:type="dxa"/>
          </w:tcPr>
          <w:p w14:paraId="5309987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322B89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4B4A36B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792170D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12F356C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76405B2" w14:textId="77777777" w:rsidTr="00822E3C">
        <w:trPr>
          <w:trHeight w:val="295"/>
        </w:trPr>
        <w:tc>
          <w:tcPr>
            <w:tcW w:w="1436" w:type="dxa"/>
          </w:tcPr>
          <w:p w14:paraId="5B70D89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1332B1E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1AE01E4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22F71D9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7D378E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D745681" w14:textId="77777777" w:rsidTr="00822E3C">
        <w:trPr>
          <w:trHeight w:val="295"/>
        </w:trPr>
        <w:tc>
          <w:tcPr>
            <w:tcW w:w="1436" w:type="dxa"/>
          </w:tcPr>
          <w:p w14:paraId="333B551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063CC5A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647841A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747BB2A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4880BA3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62991FF" w14:textId="77777777" w:rsidTr="00822E3C">
        <w:trPr>
          <w:trHeight w:val="295"/>
        </w:trPr>
        <w:tc>
          <w:tcPr>
            <w:tcW w:w="1436" w:type="dxa"/>
          </w:tcPr>
          <w:p w14:paraId="43273EC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539FF65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3ABA3B3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157EEED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419CC47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AA167FA" w14:textId="77777777" w:rsidTr="00822E3C">
        <w:trPr>
          <w:trHeight w:val="295"/>
        </w:trPr>
        <w:tc>
          <w:tcPr>
            <w:tcW w:w="1436" w:type="dxa"/>
          </w:tcPr>
          <w:p w14:paraId="73D2C72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91" w:type="dxa"/>
          </w:tcPr>
          <w:p w14:paraId="782E92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927" w:type="dxa"/>
          </w:tcPr>
          <w:p w14:paraId="2DAFBF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009" w:type="dxa"/>
          </w:tcPr>
          <w:p w14:paraId="4A57891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32" w:type="dxa"/>
          </w:tcPr>
          <w:p w14:paraId="1B32E5A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6D1EA4A7"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303-2</w:t>
      </w:r>
    </w:p>
    <w:p w14:paraId="4B9F9BC5"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Agua captada en todas las zonas, por tipo de fuente dentro de la compañía.</w:t>
      </w: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8"/>
        <w:gridCol w:w="958"/>
        <w:gridCol w:w="1279"/>
        <w:gridCol w:w="1371"/>
        <w:gridCol w:w="726"/>
      </w:tblGrid>
      <w:tr w:rsidR="00E05B53" w:rsidRPr="00E05B53" w14:paraId="73789CC8" w14:textId="77777777" w:rsidTr="00822E3C">
        <w:trPr>
          <w:trHeight w:val="659"/>
        </w:trPr>
        <w:tc>
          <w:tcPr>
            <w:tcW w:w="4308" w:type="dxa"/>
          </w:tcPr>
          <w:p w14:paraId="4527AD35"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Captación de agua en todas las zonas</w:t>
            </w:r>
            <w:r w:rsidRPr="00E05B53">
              <w:rPr>
                <w:rFonts w:ascii="Tahoma" w:eastAsia="Tahoma" w:hAnsi="Tahoma" w:cs="Tahoma"/>
                <w:b/>
                <w:kern w:val="0"/>
                <w:sz w:val="20"/>
                <w:szCs w:val="20"/>
                <w:lang w:val="es-ES" w:eastAsia="es-CO"/>
                <w14:ligatures w14:val="none"/>
              </w:rPr>
              <w:tab/>
            </w:r>
          </w:p>
        </w:tc>
        <w:tc>
          <w:tcPr>
            <w:tcW w:w="958" w:type="dxa"/>
          </w:tcPr>
          <w:p w14:paraId="1E2C9F86"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1279" w:type="dxa"/>
          </w:tcPr>
          <w:p w14:paraId="30F0A648"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1371" w:type="dxa"/>
          </w:tcPr>
          <w:p w14:paraId="1B27E064"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726" w:type="dxa"/>
          </w:tcPr>
          <w:p w14:paraId="63D813B3"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53ECBCC4" w14:textId="77777777" w:rsidTr="00822E3C">
        <w:trPr>
          <w:trHeight w:val="425"/>
        </w:trPr>
        <w:tc>
          <w:tcPr>
            <w:tcW w:w="4308" w:type="dxa"/>
          </w:tcPr>
          <w:p w14:paraId="75238DE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superficial</w:t>
            </w:r>
          </w:p>
        </w:tc>
        <w:tc>
          <w:tcPr>
            <w:tcW w:w="958" w:type="dxa"/>
          </w:tcPr>
          <w:p w14:paraId="7008C53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1B83B70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371" w:type="dxa"/>
          </w:tcPr>
          <w:p w14:paraId="2710BFB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726" w:type="dxa"/>
          </w:tcPr>
          <w:p w14:paraId="4896955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41C9359" w14:textId="77777777" w:rsidTr="00822E3C">
        <w:trPr>
          <w:trHeight w:val="133"/>
        </w:trPr>
        <w:tc>
          <w:tcPr>
            <w:tcW w:w="4308" w:type="dxa"/>
          </w:tcPr>
          <w:p w14:paraId="3C129CF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Agua subterránea</w:t>
            </w:r>
          </w:p>
        </w:tc>
        <w:tc>
          <w:tcPr>
            <w:tcW w:w="958" w:type="dxa"/>
          </w:tcPr>
          <w:p w14:paraId="311BBF6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108B14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371" w:type="dxa"/>
          </w:tcPr>
          <w:p w14:paraId="42A35D7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726" w:type="dxa"/>
          </w:tcPr>
          <w:p w14:paraId="1046B86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1754327" w14:textId="77777777" w:rsidTr="00822E3C">
        <w:trPr>
          <w:trHeight w:val="139"/>
        </w:trPr>
        <w:tc>
          <w:tcPr>
            <w:tcW w:w="4308" w:type="dxa"/>
          </w:tcPr>
          <w:p w14:paraId="574D67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958" w:type="dxa"/>
          </w:tcPr>
          <w:p w14:paraId="4F8BF6C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478711D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371" w:type="dxa"/>
          </w:tcPr>
          <w:p w14:paraId="23C49EB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726" w:type="dxa"/>
          </w:tcPr>
          <w:p w14:paraId="4909364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2DD0851" w14:textId="77777777" w:rsidTr="00822E3C">
        <w:trPr>
          <w:trHeight w:val="525"/>
        </w:trPr>
        <w:tc>
          <w:tcPr>
            <w:tcW w:w="4308" w:type="dxa"/>
          </w:tcPr>
          <w:p w14:paraId="0A9DE9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producida - gestionada y tratada por la propia compañía</w:t>
            </w:r>
          </w:p>
        </w:tc>
        <w:tc>
          <w:tcPr>
            <w:tcW w:w="958" w:type="dxa"/>
          </w:tcPr>
          <w:p w14:paraId="671239D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414200F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371" w:type="dxa"/>
          </w:tcPr>
          <w:p w14:paraId="1C2C4F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726" w:type="dxa"/>
          </w:tcPr>
          <w:p w14:paraId="6AF1372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E50FCDA" w14:textId="77777777" w:rsidTr="00822E3C">
        <w:trPr>
          <w:trHeight w:val="220"/>
        </w:trPr>
        <w:tc>
          <w:tcPr>
            <w:tcW w:w="4308" w:type="dxa"/>
          </w:tcPr>
          <w:p w14:paraId="3494D3B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 - obtenida de proveedores externos, como empresas de servicios públicos</w:t>
            </w:r>
          </w:p>
        </w:tc>
        <w:tc>
          <w:tcPr>
            <w:tcW w:w="958" w:type="dxa"/>
          </w:tcPr>
          <w:p w14:paraId="4C8B91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215EF8D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18.675,36</w:t>
            </w:r>
          </w:p>
        </w:tc>
        <w:tc>
          <w:tcPr>
            <w:tcW w:w="1371" w:type="dxa"/>
          </w:tcPr>
          <w:p w14:paraId="537D867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18.132,2</w:t>
            </w:r>
          </w:p>
        </w:tc>
        <w:tc>
          <w:tcPr>
            <w:tcW w:w="726" w:type="dxa"/>
          </w:tcPr>
          <w:p w14:paraId="119CFA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670EE03" w14:textId="77777777" w:rsidTr="00822E3C">
        <w:trPr>
          <w:trHeight w:val="210"/>
        </w:trPr>
        <w:tc>
          <w:tcPr>
            <w:tcW w:w="4308" w:type="dxa"/>
          </w:tcPr>
          <w:p w14:paraId="140107B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captada</w:t>
            </w:r>
          </w:p>
        </w:tc>
        <w:tc>
          <w:tcPr>
            <w:tcW w:w="958" w:type="dxa"/>
          </w:tcPr>
          <w:p w14:paraId="0692E7F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279" w:type="dxa"/>
          </w:tcPr>
          <w:p w14:paraId="4CDA477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18.675,36</w:t>
            </w:r>
          </w:p>
        </w:tc>
        <w:tc>
          <w:tcPr>
            <w:tcW w:w="1371" w:type="dxa"/>
          </w:tcPr>
          <w:p w14:paraId="6CF5BFA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18.132,2</w:t>
            </w:r>
          </w:p>
        </w:tc>
        <w:tc>
          <w:tcPr>
            <w:tcW w:w="726" w:type="dxa"/>
          </w:tcPr>
          <w:p w14:paraId="2AC5844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4D9C177" w14:textId="77777777" w:rsidTr="00822E3C">
        <w:trPr>
          <w:trHeight w:val="186"/>
        </w:trPr>
        <w:tc>
          <w:tcPr>
            <w:tcW w:w="4308" w:type="dxa"/>
          </w:tcPr>
          <w:p w14:paraId="6567CED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captada</w:t>
            </w:r>
          </w:p>
        </w:tc>
        <w:tc>
          <w:tcPr>
            <w:tcW w:w="958" w:type="dxa"/>
          </w:tcPr>
          <w:p w14:paraId="5A77019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Mill. M3</w:t>
            </w:r>
          </w:p>
        </w:tc>
        <w:tc>
          <w:tcPr>
            <w:tcW w:w="1279" w:type="dxa"/>
          </w:tcPr>
          <w:p w14:paraId="2284145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371" w:type="dxa"/>
          </w:tcPr>
          <w:p w14:paraId="400DCA7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726" w:type="dxa"/>
          </w:tcPr>
          <w:p w14:paraId="6C1DF8A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40DFCA1F"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303-2</w:t>
      </w:r>
    </w:p>
    <w:p w14:paraId="6459E392"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Agua captada en zonas de estrés hídrico por tipo de fuente dentro de la compañía</w:t>
      </w:r>
    </w:p>
    <w:tbl>
      <w:tblPr>
        <w:tblW w:w="8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93"/>
        <w:gridCol w:w="958"/>
        <w:gridCol w:w="1148"/>
        <w:gridCol w:w="849"/>
        <w:gridCol w:w="979"/>
      </w:tblGrid>
      <w:tr w:rsidR="00E05B53" w:rsidRPr="00E05B53" w14:paraId="07ADE8E3" w14:textId="77777777" w:rsidTr="00822E3C">
        <w:tc>
          <w:tcPr>
            <w:tcW w:w="4894" w:type="dxa"/>
          </w:tcPr>
          <w:p w14:paraId="677C4FD9"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Captación de agua en zonas estrés hídrico</w:t>
            </w:r>
            <w:r w:rsidRPr="00E05B53">
              <w:rPr>
                <w:rFonts w:ascii="Tahoma" w:eastAsia="Tahoma" w:hAnsi="Tahoma" w:cs="Tahoma"/>
                <w:b/>
                <w:kern w:val="0"/>
                <w:sz w:val="20"/>
                <w:szCs w:val="20"/>
                <w:lang w:val="es-ES" w:eastAsia="es-CO"/>
                <w14:ligatures w14:val="none"/>
              </w:rPr>
              <w:tab/>
            </w:r>
          </w:p>
        </w:tc>
        <w:tc>
          <w:tcPr>
            <w:tcW w:w="958" w:type="dxa"/>
          </w:tcPr>
          <w:p w14:paraId="271022AE"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1148" w:type="dxa"/>
          </w:tcPr>
          <w:p w14:paraId="310F47C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849" w:type="dxa"/>
          </w:tcPr>
          <w:p w14:paraId="32424E1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979" w:type="dxa"/>
          </w:tcPr>
          <w:p w14:paraId="34BB11F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45F2048A" w14:textId="77777777" w:rsidTr="00822E3C">
        <w:tc>
          <w:tcPr>
            <w:tcW w:w="4894" w:type="dxa"/>
          </w:tcPr>
          <w:p w14:paraId="35CBF50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superficial</w:t>
            </w:r>
          </w:p>
        </w:tc>
        <w:tc>
          <w:tcPr>
            <w:tcW w:w="958" w:type="dxa"/>
          </w:tcPr>
          <w:p w14:paraId="6C82E51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749C0A0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9" w:type="dxa"/>
          </w:tcPr>
          <w:p w14:paraId="213AC5C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9" w:type="dxa"/>
          </w:tcPr>
          <w:p w14:paraId="66C245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29856A9" w14:textId="77777777" w:rsidTr="00822E3C">
        <w:tc>
          <w:tcPr>
            <w:tcW w:w="4894" w:type="dxa"/>
          </w:tcPr>
          <w:p w14:paraId="70A4FA5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subterránea</w:t>
            </w:r>
          </w:p>
        </w:tc>
        <w:tc>
          <w:tcPr>
            <w:tcW w:w="958" w:type="dxa"/>
          </w:tcPr>
          <w:p w14:paraId="042413F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771F1EC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9" w:type="dxa"/>
          </w:tcPr>
          <w:p w14:paraId="7FECCB0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9" w:type="dxa"/>
          </w:tcPr>
          <w:p w14:paraId="3A34B1D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2BFBCB8" w14:textId="77777777" w:rsidTr="00822E3C">
        <w:tc>
          <w:tcPr>
            <w:tcW w:w="4894" w:type="dxa"/>
          </w:tcPr>
          <w:p w14:paraId="7941500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958" w:type="dxa"/>
          </w:tcPr>
          <w:p w14:paraId="59A83D6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2648E4C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9" w:type="dxa"/>
          </w:tcPr>
          <w:p w14:paraId="557C5A0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9" w:type="dxa"/>
          </w:tcPr>
          <w:p w14:paraId="1E9705A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797C555" w14:textId="77777777" w:rsidTr="00822E3C">
        <w:tc>
          <w:tcPr>
            <w:tcW w:w="4894" w:type="dxa"/>
          </w:tcPr>
          <w:p w14:paraId="30B7A06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producida - gestionada y tratada por la propia compañía</w:t>
            </w:r>
          </w:p>
        </w:tc>
        <w:tc>
          <w:tcPr>
            <w:tcW w:w="958" w:type="dxa"/>
          </w:tcPr>
          <w:p w14:paraId="0F918D2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5DE0BCB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9" w:type="dxa"/>
          </w:tcPr>
          <w:p w14:paraId="11B40D5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79" w:type="dxa"/>
          </w:tcPr>
          <w:p w14:paraId="436FEB0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C74A6D9" w14:textId="77777777" w:rsidTr="00822E3C">
        <w:tc>
          <w:tcPr>
            <w:tcW w:w="4894" w:type="dxa"/>
          </w:tcPr>
          <w:p w14:paraId="547A0F4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 - obtenida de proveedores externos, como empresas de servicios públicos</w:t>
            </w:r>
          </w:p>
        </w:tc>
        <w:tc>
          <w:tcPr>
            <w:tcW w:w="958" w:type="dxa"/>
          </w:tcPr>
          <w:p w14:paraId="69A979A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25ADBBF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17.889,2</w:t>
            </w:r>
          </w:p>
        </w:tc>
        <w:tc>
          <w:tcPr>
            <w:tcW w:w="849" w:type="dxa"/>
          </w:tcPr>
          <w:p w14:paraId="1511A018"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2.582</w:t>
            </w:r>
          </w:p>
        </w:tc>
        <w:tc>
          <w:tcPr>
            <w:tcW w:w="979" w:type="dxa"/>
          </w:tcPr>
          <w:p w14:paraId="6037819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F62AB84" w14:textId="77777777" w:rsidTr="00822E3C">
        <w:tc>
          <w:tcPr>
            <w:tcW w:w="4894" w:type="dxa"/>
          </w:tcPr>
          <w:p w14:paraId="3231B6D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captada</w:t>
            </w:r>
          </w:p>
        </w:tc>
        <w:tc>
          <w:tcPr>
            <w:tcW w:w="958" w:type="dxa"/>
          </w:tcPr>
          <w:p w14:paraId="3841029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148" w:type="dxa"/>
          </w:tcPr>
          <w:p w14:paraId="310C5D0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17.889,2</w:t>
            </w:r>
          </w:p>
        </w:tc>
        <w:tc>
          <w:tcPr>
            <w:tcW w:w="849" w:type="dxa"/>
          </w:tcPr>
          <w:p w14:paraId="425A9689"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2.582</w:t>
            </w:r>
          </w:p>
        </w:tc>
        <w:tc>
          <w:tcPr>
            <w:tcW w:w="979" w:type="dxa"/>
          </w:tcPr>
          <w:p w14:paraId="284DE5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2FBFF6F" w14:textId="77777777" w:rsidTr="00822E3C">
        <w:tc>
          <w:tcPr>
            <w:tcW w:w="4894" w:type="dxa"/>
          </w:tcPr>
          <w:p w14:paraId="175ABA0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captada</w:t>
            </w:r>
          </w:p>
        </w:tc>
        <w:tc>
          <w:tcPr>
            <w:tcW w:w="958" w:type="dxa"/>
          </w:tcPr>
          <w:p w14:paraId="0EA0491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Mill. M3</w:t>
            </w:r>
          </w:p>
        </w:tc>
        <w:tc>
          <w:tcPr>
            <w:tcW w:w="1148" w:type="dxa"/>
          </w:tcPr>
          <w:p w14:paraId="361F911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9" w:type="dxa"/>
          </w:tcPr>
          <w:p w14:paraId="740E655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0,003</w:t>
            </w:r>
          </w:p>
        </w:tc>
        <w:tc>
          <w:tcPr>
            <w:tcW w:w="979" w:type="dxa"/>
          </w:tcPr>
          <w:p w14:paraId="6751AA3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58831E0A" w14:textId="77777777" w:rsidR="00E05B53" w:rsidRPr="007109C4" w:rsidRDefault="00E05B53" w:rsidP="00E05B53">
      <w:pPr>
        <w:tabs>
          <w:tab w:val="left" w:pos="1290"/>
        </w:tabs>
        <w:jc w:val="both"/>
        <w:rPr>
          <w:rFonts w:ascii="Tahoma" w:eastAsia="Tahoma" w:hAnsi="Tahoma" w:cs="Tahoma"/>
          <w:b/>
          <w:color w:val="0070C0"/>
          <w:kern w:val="0"/>
          <w:lang w:val="es-ES" w:eastAsia="es-CO"/>
          <w14:ligatures w14:val="none"/>
        </w:rPr>
      </w:pPr>
      <w:r w:rsidRPr="007109C4">
        <w:rPr>
          <w:rFonts w:ascii="Tahoma" w:eastAsia="Tahoma" w:hAnsi="Tahoma" w:cs="Tahoma"/>
          <w:b/>
          <w:color w:val="0070C0"/>
          <w:kern w:val="0"/>
          <w:lang w:val="es-ES" w:eastAsia="es-CO"/>
          <w14:ligatures w14:val="none"/>
        </w:rPr>
        <w:t>GRI 303-2</w:t>
      </w:r>
    </w:p>
    <w:p w14:paraId="392441DF"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Agua vertida por la compañía en todas las zonas.</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61"/>
        <w:gridCol w:w="958"/>
        <w:gridCol w:w="901"/>
        <w:gridCol w:w="1148"/>
        <w:gridCol w:w="960"/>
      </w:tblGrid>
      <w:tr w:rsidR="00E05B53" w:rsidRPr="00E05B53" w14:paraId="7C649000" w14:textId="77777777" w:rsidTr="00822E3C">
        <w:tc>
          <w:tcPr>
            <w:tcW w:w="4861" w:type="dxa"/>
          </w:tcPr>
          <w:p w14:paraId="3EFFD27E"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lastRenderedPageBreak/>
              <w:t>Vertidos de agua en todas las zonas</w:t>
            </w:r>
            <w:r w:rsidRPr="00E05B53">
              <w:rPr>
                <w:rFonts w:ascii="Tahoma" w:eastAsia="Tahoma" w:hAnsi="Tahoma" w:cs="Tahoma"/>
                <w:b/>
                <w:kern w:val="0"/>
                <w:sz w:val="20"/>
                <w:szCs w:val="20"/>
                <w:lang w:val="es-ES" w:eastAsia="es-CO"/>
                <w14:ligatures w14:val="none"/>
              </w:rPr>
              <w:tab/>
            </w:r>
          </w:p>
        </w:tc>
        <w:tc>
          <w:tcPr>
            <w:tcW w:w="958" w:type="dxa"/>
          </w:tcPr>
          <w:p w14:paraId="773AF460"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901" w:type="dxa"/>
          </w:tcPr>
          <w:p w14:paraId="2BBE0774"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1148" w:type="dxa"/>
          </w:tcPr>
          <w:p w14:paraId="3430BB4B"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960" w:type="dxa"/>
          </w:tcPr>
          <w:p w14:paraId="4C8DF108"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2242A7D2" w14:textId="77777777" w:rsidTr="00822E3C">
        <w:tc>
          <w:tcPr>
            <w:tcW w:w="4861" w:type="dxa"/>
          </w:tcPr>
          <w:p w14:paraId="38F556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superficial</w:t>
            </w:r>
            <w:r w:rsidRPr="00E05B53">
              <w:rPr>
                <w:rFonts w:ascii="Tahoma" w:eastAsia="Tahoma" w:hAnsi="Tahoma" w:cs="Tahoma"/>
                <w:kern w:val="0"/>
                <w:lang w:val="es-ES" w:eastAsia="es-CO"/>
                <w14:ligatures w14:val="none"/>
              </w:rPr>
              <w:tab/>
            </w:r>
          </w:p>
        </w:tc>
        <w:tc>
          <w:tcPr>
            <w:tcW w:w="958" w:type="dxa"/>
          </w:tcPr>
          <w:p w14:paraId="3712810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901" w:type="dxa"/>
          </w:tcPr>
          <w:p w14:paraId="5BEDB9F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48" w:type="dxa"/>
          </w:tcPr>
          <w:p w14:paraId="4A044EA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60" w:type="dxa"/>
          </w:tcPr>
          <w:p w14:paraId="224A94F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35BDC4E" w14:textId="77777777" w:rsidTr="00822E3C">
        <w:tc>
          <w:tcPr>
            <w:tcW w:w="4861" w:type="dxa"/>
          </w:tcPr>
          <w:p w14:paraId="722CEB1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subterránea</w:t>
            </w:r>
            <w:r w:rsidRPr="00E05B53">
              <w:rPr>
                <w:rFonts w:ascii="Tahoma" w:eastAsia="Tahoma" w:hAnsi="Tahoma" w:cs="Tahoma"/>
                <w:kern w:val="0"/>
                <w:lang w:val="es-ES" w:eastAsia="es-CO"/>
                <w14:ligatures w14:val="none"/>
              </w:rPr>
              <w:tab/>
            </w:r>
          </w:p>
        </w:tc>
        <w:tc>
          <w:tcPr>
            <w:tcW w:w="958" w:type="dxa"/>
          </w:tcPr>
          <w:p w14:paraId="4042EBD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901" w:type="dxa"/>
          </w:tcPr>
          <w:p w14:paraId="625DF93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48" w:type="dxa"/>
          </w:tcPr>
          <w:p w14:paraId="4A2E544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60" w:type="dxa"/>
          </w:tcPr>
          <w:p w14:paraId="6E62E79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52ACB22" w14:textId="77777777" w:rsidTr="00822E3C">
        <w:tc>
          <w:tcPr>
            <w:tcW w:w="4861" w:type="dxa"/>
          </w:tcPr>
          <w:p w14:paraId="561F829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958" w:type="dxa"/>
          </w:tcPr>
          <w:p w14:paraId="11E2988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901" w:type="dxa"/>
          </w:tcPr>
          <w:p w14:paraId="3D03390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148" w:type="dxa"/>
          </w:tcPr>
          <w:p w14:paraId="3FB0B42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60" w:type="dxa"/>
          </w:tcPr>
          <w:p w14:paraId="78FB8BB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15FA986" w14:textId="77777777" w:rsidTr="00822E3C">
        <w:tc>
          <w:tcPr>
            <w:tcW w:w="4861" w:type="dxa"/>
          </w:tcPr>
          <w:p w14:paraId="35BFBC4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w:t>
            </w:r>
          </w:p>
        </w:tc>
        <w:tc>
          <w:tcPr>
            <w:tcW w:w="958" w:type="dxa"/>
          </w:tcPr>
          <w:p w14:paraId="17A6E35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901" w:type="dxa"/>
          </w:tcPr>
          <w:p w14:paraId="786C112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40,5</w:t>
            </w:r>
          </w:p>
        </w:tc>
        <w:tc>
          <w:tcPr>
            <w:tcW w:w="1148" w:type="dxa"/>
          </w:tcPr>
          <w:p w14:paraId="64DB5791"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3.232,27</w:t>
            </w:r>
          </w:p>
        </w:tc>
        <w:tc>
          <w:tcPr>
            <w:tcW w:w="960" w:type="dxa"/>
          </w:tcPr>
          <w:p w14:paraId="4DBB315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D6D0563" w14:textId="77777777" w:rsidTr="00822E3C">
        <w:tc>
          <w:tcPr>
            <w:tcW w:w="4861" w:type="dxa"/>
          </w:tcPr>
          <w:p w14:paraId="6DF73CE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vertida</w:t>
            </w:r>
          </w:p>
        </w:tc>
        <w:tc>
          <w:tcPr>
            <w:tcW w:w="958" w:type="dxa"/>
          </w:tcPr>
          <w:p w14:paraId="40E7CE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901" w:type="dxa"/>
          </w:tcPr>
          <w:p w14:paraId="17D8665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40,5</w:t>
            </w:r>
          </w:p>
        </w:tc>
        <w:tc>
          <w:tcPr>
            <w:tcW w:w="1148" w:type="dxa"/>
          </w:tcPr>
          <w:p w14:paraId="63DA27F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3.232,27</w:t>
            </w:r>
          </w:p>
        </w:tc>
        <w:tc>
          <w:tcPr>
            <w:tcW w:w="960" w:type="dxa"/>
          </w:tcPr>
          <w:p w14:paraId="433BEFD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3EDDE20" w14:textId="77777777" w:rsidTr="00822E3C">
        <w:tc>
          <w:tcPr>
            <w:tcW w:w="4861" w:type="dxa"/>
          </w:tcPr>
          <w:p w14:paraId="0A7491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Total agua vertida </w:t>
            </w:r>
          </w:p>
        </w:tc>
        <w:tc>
          <w:tcPr>
            <w:tcW w:w="958" w:type="dxa"/>
          </w:tcPr>
          <w:p w14:paraId="3502139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Mill. m3</w:t>
            </w:r>
          </w:p>
        </w:tc>
        <w:tc>
          <w:tcPr>
            <w:tcW w:w="901" w:type="dxa"/>
          </w:tcPr>
          <w:p w14:paraId="2BB74BF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0,04</w:t>
            </w:r>
          </w:p>
        </w:tc>
        <w:tc>
          <w:tcPr>
            <w:tcW w:w="1148" w:type="dxa"/>
          </w:tcPr>
          <w:p w14:paraId="31EB46E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0,003</w:t>
            </w:r>
          </w:p>
        </w:tc>
        <w:tc>
          <w:tcPr>
            <w:tcW w:w="960" w:type="dxa"/>
          </w:tcPr>
          <w:p w14:paraId="2A0D1BB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676F61D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303-2</w:t>
      </w:r>
    </w:p>
    <w:p w14:paraId="370A5F3C"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p>
    <w:p w14:paraId="23F4559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Agua vertida por la compañía en zonas de estrés hídrico.</w:t>
      </w:r>
    </w:p>
    <w:tbl>
      <w:tblPr>
        <w:tblW w:w="7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5"/>
        <w:gridCol w:w="991"/>
        <w:gridCol w:w="1634"/>
        <w:gridCol w:w="1417"/>
        <w:gridCol w:w="1276"/>
      </w:tblGrid>
      <w:tr w:rsidR="00E05B53" w:rsidRPr="00E05B53" w14:paraId="7C9507E3" w14:textId="77777777" w:rsidTr="00822E3C">
        <w:tc>
          <w:tcPr>
            <w:tcW w:w="1765" w:type="dxa"/>
          </w:tcPr>
          <w:p w14:paraId="6F85598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Vertidos de agua en todas las zonas</w:t>
            </w:r>
            <w:r w:rsidRPr="00E05B53">
              <w:rPr>
                <w:rFonts w:ascii="Tahoma" w:eastAsia="Tahoma" w:hAnsi="Tahoma" w:cs="Tahoma"/>
                <w:b/>
                <w:kern w:val="0"/>
                <w:sz w:val="20"/>
                <w:szCs w:val="20"/>
                <w:lang w:val="es-ES" w:eastAsia="es-CO"/>
                <w14:ligatures w14:val="none"/>
              </w:rPr>
              <w:tab/>
            </w:r>
          </w:p>
        </w:tc>
        <w:tc>
          <w:tcPr>
            <w:tcW w:w="991" w:type="dxa"/>
          </w:tcPr>
          <w:p w14:paraId="69C9572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1634" w:type="dxa"/>
          </w:tcPr>
          <w:p w14:paraId="6C225B32"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1417" w:type="dxa"/>
          </w:tcPr>
          <w:p w14:paraId="7D11850C"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1276" w:type="dxa"/>
          </w:tcPr>
          <w:p w14:paraId="242A0F2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5B236957" w14:textId="77777777" w:rsidTr="00822E3C">
        <w:tc>
          <w:tcPr>
            <w:tcW w:w="1765" w:type="dxa"/>
          </w:tcPr>
          <w:p w14:paraId="7C5C87C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superficial</w:t>
            </w:r>
            <w:r w:rsidRPr="00E05B53">
              <w:rPr>
                <w:rFonts w:ascii="Tahoma" w:eastAsia="Tahoma" w:hAnsi="Tahoma" w:cs="Tahoma"/>
                <w:kern w:val="0"/>
                <w:lang w:val="es-ES" w:eastAsia="es-CO"/>
                <w14:ligatures w14:val="none"/>
              </w:rPr>
              <w:tab/>
            </w:r>
          </w:p>
        </w:tc>
        <w:tc>
          <w:tcPr>
            <w:tcW w:w="991" w:type="dxa"/>
          </w:tcPr>
          <w:p w14:paraId="04D2926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1D462AB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27E09C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6EE17A7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26BCA4E" w14:textId="77777777" w:rsidTr="00822E3C">
        <w:tc>
          <w:tcPr>
            <w:tcW w:w="1765" w:type="dxa"/>
          </w:tcPr>
          <w:p w14:paraId="788D071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subterránea</w:t>
            </w:r>
            <w:r w:rsidRPr="00E05B53">
              <w:rPr>
                <w:rFonts w:ascii="Tahoma" w:eastAsia="Tahoma" w:hAnsi="Tahoma" w:cs="Tahoma"/>
                <w:kern w:val="0"/>
                <w:lang w:val="es-ES" w:eastAsia="es-CO"/>
                <w14:ligatures w14:val="none"/>
              </w:rPr>
              <w:tab/>
            </w:r>
          </w:p>
        </w:tc>
        <w:tc>
          <w:tcPr>
            <w:tcW w:w="991" w:type="dxa"/>
          </w:tcPr>
          <w:p w14:paraId="5556116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61E6E65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721FD22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49CEED2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1BAEA45" w14:textId="77777777" w:rsidTr="00822E3C">
        <w:tc>
          <w:tcPr>
            <w:tcW w:w="1765" w:type="dxa"/>
          </w:tcPr>
          <w:p w14:paraId="1C3CD87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991" w:type="dxa"/>
          </w:tcPr>
          <w:p w14:paraId="65494E0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48436BF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5D919B2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35F9F86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8B7326B" w14:textId="77777777" w:rsidTr="00822E3C">
        <w:tc>
          <w:tcPr>
            <w:tcW w:w="1765" w:type="dxa"/>
          </w:tcPr>
          <w:p w14:paraId="0ABA400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w:t>
            </w:r>
          </w:p>
        </w:tc>
        <w:tc>
          <w:tcPr>
            <w:tcW w:w="991" w:type="dxa"/>
          </w:tcPr>
          <w:p w14:paraId="2636C95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1ED62FE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19F84D9E"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1.571,6</w:t>
            </w:r>
          </w:p>
        </w:tc>
        <w:tc>
          <w:tcPr>
            <w:tcW w:w="1276" w:type="dxa"/>
          </w:tcPr>
          <w:p w14:paraId="65C66FA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F0F8D9D" w14:textId="77777777" w:rsidTr="00822E3C">
        <w:tc>
          <w:tcPr>
            <w:tcW w:w="1765" w:type="dxa"/>
          </w:tcPr>
          <w:p w14:paraId="7715DBE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Agua de terceros trasvasada </w:t>
            </w:r>
          </w:p>
        </w:tc>
        <w:tc>
          <w:tcPr>
            <w:tcW w:w="991" w:type="dxa"/>
          </w:tcPr>
          <w:p w14:paraId="1CA327F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634" w:type="dxa"/>
          </w:tcPr>
          <w:p w14:paraId="3A419F0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027E9707"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p>
        </w:tc>
        <w:tc>
          <w:tcPr>
            <w:tcW w:w="1276" w:type="dxa"/>
          </w:tcPr>
          <w:p w14:paraId="4D74A5F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16A4ADE" w14:textId="77777777" w:rsidTr="00822E3C">
        <w:tc>
          <w:tcPr>
            <w:tcW w:w="1765" w:type="dxa"/>
          </w:tcPr>
          <w:p w14:paraId="62B86FD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agua vertida</w:t>
            </w:r>
          </w:p>
        </w:tc>
        <w:tc>
          <w:tcPr>
            <w:tcW w:w="991" w:type="dxa"/>
          </w:tcPr>
          <w:p w14:paraId="58A7609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2831B11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40,5</w:t>
            </w:r>
          </w:p>
        </w:tc>
        <w:tc>
          <w:tcPr>
            <w:tcW w:w="1417" w:type="dxa"/>
          </w:tcPr>
          <w:p w14:paraId="15637B3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1.571,6</w:t>
            </w:r>
          </w:p>
        </w:tc>
        <w:tc>
          <w:tcPr>
            <w:tcW w:w="1276" w:type="dxa"/>
          </w:tcPr>
          <w:p w14:paraId="247B189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A2B4934" w14:textId="77777777" w:rsidTr="00822E3C">
        <w:tc>
          <w:tcPr>
            <w:tcW w:w="1765" w:type="dxa"/>
          </w:tcPr>
          <w:p w14:paraId="05C6F87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 xml:space="preserve">Total agua vertida </w:t>
            </w:r>
          </w:p>
        </w:tc>
        <w:tc>
          <w:tcPr>
            <w:tcW w:w="991" w:type="dxa"/>
          </w:tcPr>
          <w:p w14:paraId="3D36FAE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Mill. m3</w:t>
            </w:r>
          </w:p>
        </w:tc>
        <w:tc>
          <w:tcPr>
            <w:tcW w:w="1634" w:type="dxa"/>
          </w:tcPr>
          <w:p w14:paraId="0144F5B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0,04</w:t>
            </w:r>
          </w:p>
        </w:tc>
        <w:tc>
          <w:tcPr>
            <w:tcW w:w="1417" w:type="dxa"/>
          </w:tcPr>
          <w:p w14:paraId="4D93605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0,002</w:t>
            </w:r>
          </w:p>
        </w:tc>
        <w:tc>
          <w:tcPr>
            <w:tcW w:w="1276" w:type="dxa"/>
          </w:tcPr>
          <w:p w14:paraId="29E3FB4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59A42023"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303-2</w:t>
      </w:r>
    </w:p>
    <w:p w14:paraId="0871CD2A"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Activos reportados y la metodología de cálculo del agua vertida por la compañía.</w:t>
      </w:r>
    </w:p>
    <w:tbl>
      <w:tblPr>
        <w:tblW w:w="7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984"/>
        <w:gridCol w:w="1500"/>
      </w:tblGrid>
      <w:tr w:rsidR="00E05B53" w:rsidRPr="00E05B53" w14:paraId="0DF4771B" w14:textId="77777777" w:rsidTr="00822E3C">
        <w:tc>
          <w:tcPr>
            <w:tcW w:w="3681" w:type="dxa"/>
          </w:tcPr>
          <w:p w14:paraId="10D86D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Activos reportados y la metodología de cálculo del agua vertida</w:t>
            </w:r>
          </w:p>
        </w:tc>
        <w:tc>
          <w:tcPr>
            <w:tcW w:w="1984" w:type="dxa"/>
          </w:tcPr>
          <w:p w14:paraId="59F50A4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Cantidad de activos reportados</w:t>
            </w:r>
          </w:p>
        </w:tc>
        <w:tc>
          <w:tcPr>
            <w:tcW w:w="1500" w:type="dxa"/>
          </w:tcPr>
          <w:p w14:paraId="2898EE2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Metodología de cálculo</w:t>
            </w:r>
          </w:p>
        </w:tc>
      </w:tr>
      <w:tr w:rsidR="00E05B53" w:rsidRPr="00E05B53" w14:paraId="38708022" w14:textId="77777777" w:rsidTr="00822E3C">
        <w:tc>
          <w:tcPr>
            <w:tcW w:w="3681" w:type="dxa"/>
          </w:tcPr>
          <w:p w14:paraId="7689F7B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Agua superficial </w:t>
            </w:r>
          </w:p>
        </w:tc>
        <w:tc>
          <w:tcPr>
            <w:tcW w:w="1984" w:type="dxa"/>
          </w:tcPr>
          <w:p w14:paraId="25F1D8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4A0EE4E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4E94516" w14:textId="77777777" w:rsidTr="00822E3C">
        <w:tc>
          <w:tcPr>
            <w:tcW w:w="3681" w:type="dxa"/>
          </w:tcPr>
          <w:p w14:paraId="4EF068C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subterránea</w:t>
            </w:r>
          </w:p>
        </w:tc>
        <w:tc>
          <w:tcPr>
            <w:tcW w:w="1984" w:type="dxa"/>
          </w:tcPr>
          <w:p w14:paraId="77EF63C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35D3442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D50657D" w14:textId="77777777" w:rsidTr="00822E3C">
        <w:tc>
          <w:tcPr>
            <w:tcW w:w="3681" w:type="dxa"/>
          </w:tcPr>
          <w:p w14:paraId="040C1F1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1984" w:type="dxa"/>
          </w:tcPr>
          <w:p w14:paraId="601124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0CA0BBC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8F34742" w14:textId="77777777" w:rsidTr="00822E3C">
        <w:tc>
          <w:tcPr>
            <w:tcW w:w="3681" w:type="dxa"/>
          </w:tcPr>
          <w:p w14:paraId="6052159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w:t>
            </w:r>
          </w:p>
        </w:tc>
        <w:tc>
          <w:tcPr>
            <w:tcW w:w="1984" w:type="dxa"/>
          </w:tcPr>
          <w:p w14:paraId="48144AD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4D88821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9A32D6F" w14:textId="77777777" w:rsidTr="00822E3C">
        <w:tc>
          <w:tcPr>
            <w:tcW w:w="3681" w:type="dxa"/>
          </w:tcPr>
          <w:p w14:paraId="78016A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 trasvasada</w:t>
            </w:r>
          </w:p>
        </w:tc>
        <w:tc>
          <w:tcPr>
            <w:tcW w:w="1984" w:type="dxa"/>
          </w:tcPr>
          <w:p w14:paraId="695E5FF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6494C05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562969A" w14:textId="77777777" w:rsidTr="00822E3C">
        <w:tc>
          <w:tcPr>
            <w:tcW w:w="3681" w:type="dxa"/>
          </w:tcPr>
          <w:p w14:paraId="4412C9C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de agua vertida</w:t>
            </w:r>
          </w:p>
        </w:tc>
        <w:tc>
          <w:tcPr>
            <w:tcW w:w="1984" w:type="dxa"/>
          </w:tcPr>
          <w:p w14:paraId="1FD391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12850D7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02385BE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303 - 2</w:t>
      </w:r>
    </w:p>
    <w:p w14:paraId="472A6B1C"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Agua vertida por tipo de tratamiento en todas las zonas</w:t>
      </w:r>
    </w:p>
    <w:tbl>
      <w:tblPr>
        <w:tblW w:w="7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5"/>
        <w:gridCol w:w="991"/>
        <w:gridCol w:w="1634"/>
        <w:gridCol w:w="1417"/>
        <w:gridCol w:w="1276"/>
      </w:tblGrid>
      <w:tr w:rsidR="00E05B53" w:rsidRPr="00E05B53" w14:paraId="513B1E7A" w14:textId="77777777" w:rsidTr="00822E3C">
        <w:tc>
          <w:tcPr>
            <w:tcW w:w="1765" w:type="dxa"/>
          </w:tcPr>
          <w:p w14:paraId="415BE1DF"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Vertidos de agua en todas las zonas</w:t>
            </w:r>
            <w:r w:rsidRPr="00E05B53">
              <w:rPr>
                <w:rFonts w:ascii="Tahoma" w:eastAsia="Tahoma" w:hAnsi="Tahoma" w:cs="Tahoma"/>
                <w:b/>
                <w:kern w:val="0"/>
                <w:sz w:val="20"/>
                <w:szCs w:val="20"/>
                <w:lang w:val="es-ES" w:eastAsia="es-CO"/>
                <w14:ligatures w14:val="none"/>
              </w:rPr>
              <w:tab/>
            </w:r>
          </w:p>
        </w:tc>
        <w:tc>
          <w:tcPr>
            <w:tcW w:w="991" w:type="dxa"/>
          </w:tcPr>
          <w:p w14:paraId="7CF50A8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1634" w:type="dxa"/>
          </w:tcPr>
          <w:p w14:paraId="5FA24ADD"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1417" w:type="dxa"/>
          </w:tcPr>
          <w:p w14:paraId="701EEE5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1276" w:type="dxa"/>
          </w:tcPr>
          <w:p w14:paraId="6DAAEC60"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28FD92DF" w14:textId="77777777" w:rsidTr="00822E3C">
        <w:tc>
          <w:tcPr>
            <w:tcW w:w="1765" w:type="dxa"/>
          </w:tcPr>
          <w:p w14:paraId="640D150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Vertidos de agua sin tratamiento</w:t>
            </w:r>
          </w:p>
        </w:tc>
        <w:tc>
          <w:tcPr>
            <w:tcW w:w="991" w:type="dxa"/>
          </w:tcPr>
          <w:p w14:paraId="64ED485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7DFC5F4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55DF4F4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1.561,6</w:t>
            </w:r>
          </w:p>
        </w:tc>
        <w:tc>
          <w:tcPr>
            <w:tcW w:w="1276" w:type="dxa"/>
          </w:tcPr>
          <w:p w14:paraId="72F12A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3D51EED" w14:textId="77777777" w:rsidTr="00822E3C">
        <w:tc>
          <w:tcPr>
            <w:tcW w:w="1765" w:type="dxa"/>
          </w:tcPr>
          <w:p w14:paraId="22F83ED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Vertidos de agua con tratamiento primario</w:t>
            </w:r>
          </w:p>
        </w:tc>
        <w:tc>
          <w:tcPr>
            <w:tcW w:w="991" w:type="dxa"/>
          </w:tcPr>
          <w:p w14:paraId="288EAE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04CAE37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76840A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42925BB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FBC0D1D" w14:textId="77777777" w:rsidTr="00822E3C">
        <w:tc>
          <w:tcPr>
            <w:tcW w:w="1765" w:type="dxa"/>
          </w:tcPr>
          <w:p w14:paraId="22101A5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Vertidos de agua con </w:t>
            </w:r>
            <w:r w:rsidRPr="00E05B53">
              <w:rPr>
                <w:rFonts w:ascii="Tahoma" w:eastAsia="Tahoma" w:hAnsi="Tahoma" w:cs="Tahoma"/>
                <w:kern w:val="0"/>
                <w:lang w:val="es-ES" w:eastAsia="es-CO"/>
                <w14:ligatures w14:val="none"/>
              </w:rPr>
              <w:lastRenderedPageBreak/>
              <w:t>tratamiento secundario</w:t>
            </w:r>
          </w:p>
        </w:tc>
        <w:tc>
          <w:tcPr>
            <w:tcW w:w="991" w:type="dxa"/>
          </w:tcPr>
          <w:p w14:paraId="5ECFC7A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m3</w:t>
            </w:r>
          </w:p>
        </w:tc>
        <w:tc>
          <w:tcPr>
            <w:tcW w:w="1634" w:type="dxa"/>
          </w:tcPr>
          <w:p w14:paraId="642A82F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40,5</w:t>
            </w:r>
          </w:p>
        </w:tc>
        <w:tc>
          <w:tcPr>
            <w:tcW w:w="1417" w:type="dxa"/>
          </w:tcPr>
          <w:p w14:paraId="4DF02EC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10</w:t>
            </w:r>
          </w:p>
        </w:tc>
        <w:tc>
          <w:tcPr>
            <w:tcW w:w="1276" w:type="dxa"/>
          </w:tcPr>
          <w:p w14:paraId="123E6BD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872BA29" w14:textId="77777777" w:rsidTr="00822E3C">
        <w:tc>
          <w:tcPr>
            <w:tcW w:w="1765" w:type="dxa"/>
          </w:tcPr>
          <w:p w14:paraId="6C5014F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Vertidos de agua con tratamiento terciario</w:t>
            </w:r>
          </w:p>
        </w:tc>
        <w:tc>
          <w:tcPr>
            <w:tcW w:w="991" w:type="dxa"/>
          </w:tcPr>
          <w:p w14:paraId="5740EBC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m3</w:t>
            </w:r>
          </w:p>
        </w:tc>
        <w:tc>
          <w:tcPr>
            <w:tcW w:w="1634" w:type="dxa"/>
          </w:tcPr>
          <w:p w14:paraId="70A1CCA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417" w:type="dxa"/>
          </w:tcPr>
          <w:p w14:paraId="0A3494E3"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p>
        </w:tc>
        <w:tc>
          <w:tcPr>
            <w:tcW w:w="1276" w:type="dxa"/>
          </w:tcPr>
          <w:p w14:paraId="1E406BC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545C71B6"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 – 2</w:t>
      </w:r>
    </w:p>
    <w:p w14:paraId="79834382"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Activos reportados y la metodología de cálculo del agua vertida por tipo de tratamiento.</w:t>
      </w:r>
    </w:p>
    <w:tbl>
      <w:tblPr>
        <w:tblW w:w="7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984"/>
        <w:gridCol w:w="1500"/>
      </w:tblGrid>
      <w:tr w:rsidR="00E05B53" w:rsidRPr="00E05B53" w14:paraId="660639AC" w14:textId="77777777" w:rsidTr="00822E3C">
        <w:tc>
          <w:tcPr>
            <w:tcW w:w="3681" w:type="dxa"/>
          </w:tcPr>
          <w:p w14:paraId="3BC1BDC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b/>
                <w:kern w:val="0"/>
                <w:lang w:val="es-ES" w:eastAsia="es-CO"/>
                <w14:ligatures w14:val="none"/>
              </w:rPr>
              <w:t>Vertido de agua según tipo de tratamiento</w:t>
            </w:r>
          </w:p>
        </w:tc>
        <w:tc>
          <w:tcPr>
            <w:tcW w:w="1984" w:type="dxa"/>
          </w:tcPr>
          <w:p w14:paraId="12993B6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Cantidad de activos reportados</w:t>
            </w:r>
          </w:p>
        </w:tc>
        <w:tc>
          <w:tcPr>
            <w:tcW w:w="1500" w:type="dxa"/>
          </w:tcPr>
          <w:p w14:paraId="1B88B14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Metodología de cálculo</w:t>
            </w:r>
          </w:p>
        </w:tc>
      </w:tr>
      <w:tr w:rsidR="00E05B53" w:rsidRPr="00E05B53" w14:paraId="73F4B3CE" w14:textId="77777777" w:rsidTr="00822E3C">
        <w:tc>
          <w:tcPr>
            <w:tcW w:w="3681" w:type="dxa"/>
          </w:tcPr>
          <w:p w14:paraId="17DF7AD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 de agua sin tratamiento</w:t>
            </w:r>
          </w:p>
        </w:tc>
        <w:tc>
          <w:tcPr>
            <w:tcW w:w="1984" w:type="dxa"/>
          </w:tcPr>
          <w:p w14:paraId="7379420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0DE70D4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4C434B1" w14:textId="77777777" w:rsidTr="00822E3C">
        <w:tc>
          <w:tcPr>
            <w:tcW w:w="3681" w:type="dxa"/>
          </w:tcPr>
          <w:p w14:paraId="0DA2D85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 de agua con tratamiento primario</w:t>
            </w:r>
          </w:p>
        </w:tc>
        <w:tc>
          <w:tcPr>
            <w:tcW w:w="1984" w:type="dxa"/>
          </w:tcPr>
          <w:p w14:paraId="3B51D6F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4DB0DAB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415854D" w14:textId="77777777" w:rsidTr="00822E3C">
        <w:tc>
          <w:tcPr>
            <w:tcW w:w="3681" w:type="dxa"/>
          </w:tcPr>
          <w:p w14:paraId="46262E5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 de agua con tratamiento secundario</w:t>
            </w:r>
          </w:p>
        </w:tc>
        <w:tc>
          <w:tcPr>
            <w:tcW w:w="1984" w:type="dxa"/>
          </w:tcPr>
          <w:p w14:paraId="41CC706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5B0042F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D494FBC" w14:textId="77777777" w:rsidTr="00822E3C">
        <w:tc>
          <w:tcPr>
            <w:tcW w:w="3681" w:type="dxa"/>
          </w:tcPr>
          <w:p w14:paraId="38A79BB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Vertido de agua con tratamiento terciario</w:t>
            </w:r>
          </w:p>
        </w:tc>
        <w:tc>
          <w:tcPr>
            <w:tcW w:w="1984" w:type="dxa"/>
          </w:tcPr>
          <w:p w14:paraId="110D6C9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500" w:type="dxa"/>
          </w:tcPr>
          <w:p w14:paraId="4B0A82D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3084C7E6"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303 – 2</w:t>
      </w:r>
    </w:p>
    <w:p w14:paraId="70F58BE8"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 xml:space="preserve">Instalaciones en zonas con estrés hídrico </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7"/>
        <w:gridCol w:w="1231"/>
        <w:gridCol w:w="1232"/>
        <w:gridCol w:w="1232"/>
        <w:gridCol w:w="1232"/>
        <w:gridCol w:w="1232"/>
        <w:gridCol w:w="1232"/>
      </w:tblGrid>
      <w:tr w:rsidR="00E05B53" w:rsidRPr="00E05B53" w14:paraId="5EBEDC6C" w14:textId="77777777" w:rsidTr="00822E3C">
        <w:tc>
          <w:tcPr>
            <w:tcW w:w="1437" w:type="dxa"/>
          </w:tcPr>
          <w:p w14:paraId="17053CD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Instalaciones en zonas con estrés hídrico</w:t>
            </w:r>
            <w:r w:rsidRPr="00E05B53">
              <w:rPr>
                <w:rFonts w:ascii="Tahoma" w:eastAsia="Tahoma" w:hAnsi="Tahoma" w:cs="Tahoma"/>
                <w:kern w:val="0"/>
                <w:lang w:val="es-ES" w:eastAsia="es-CO"/>
                <w14:ligatures w14:val="none"/>
              </w:rPr>
              <w:tab/>
            </w:r>
          </w:p>
        </w:tc>
        <w:tc>
          <w:tcPr>
            <w:tcW w:w="1231" w:type="dxa"/>
          </w:tcPr>
          <w:p w14:paraId="3EFAE93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X1</w:t>
            </w:r>
          </w:p>
        </w:tc>
        <w:tc>
          <w:tcPr>
            <w:tcW w:w="1232" w:type="dxa"/>
          </w:tcPr>
          <w:p w14:paraId="3AD244F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X2</w:t>
            </w:r>
          </w:p>
        </w:tc>
        <w:tc>
          <w:tcPr>
            <w:tcW w:w="1232" w:type="dxa"/>
          </w:tcPr>
          <w:p w14:paraId="2FAC8AF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X3</w:t>
            </w:r>
          </w:p>
        </w:tc>
        <w:tc>
          <w:tcPr>
            <w:tcW w:w="1232" w:type="dxa"/>
          </w:tcPr>
          <w:p w14:paraId="095C6B1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X4</w:t>
            </w:r>
          </w:p>
        </w:tc>
        <w:tc>
          <w:tcPr>
            <w:tcW w:w="1232" w:type="dxa"/>
          </w:tcPr>
          <w:p w14:paraId="39853C2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X5</w:t>
            </w:r>
          </w:p>
        </w:tc>
        <w:tc>
          <w:tcPr>
            <w:tcW w:w="1232" w:type="dxa"/>
          </w:tcPr>
          <w:p w14:paraId="4760919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Instalación X6</w:t>
            </w:r>
          </w:p>
        </w:tc>
      </w:tr>
      <w:tr w:rsidR="00E05B53" w:rsidRPr="00E05B53" w14:paraId="5B470BBB" w14:textId="77777777" w:rsidTr="00822E3C">
        <w:tc>
          <w:tcPr>
            <w:tcW w:w="1437" w:type="dxa"/>
          </w:tcPr>
          <w:p w14:paraId="5B1AF16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superficial</w:t>
            </w:r>
          </w:p>
        </w:tc>
        <w:tc>
          <w:tcPr>
            <w:tcW w:w="1231" w:type="dxa"/>
          </w:tcPr>
          <w:p w14:paraId="33ABD1E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61A0BB2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6E38830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0907CF2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0BA1FD2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607A9F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26E65A7" w14:textId="77777777" w:rsidTr="00822E3C">
        <w:tc>
          <w:tcPr>
            <w:tcW w:w="1437" w:type="dxa"/>
          </w:tcPr>
          <w:p w14:paraId="4F99F14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Agua subterránea</w:t>
            </w:r>
          </w:p>
        </w:tc>
        <w:tc>
          <w:tcPr>
            <w:tcW w:w="1231" w:type="dxa"/>
          </w:tcPr>
          <w:p w14:paraId="5FCA23A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68C6CF5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2E0CA78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3684A47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19A7283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3CBE0FB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78C1801" w14:textId="77777777" w:rsidTr="00822E3C">
        <w:tc>
          <w:tcPr>
            <w:tcW w:w="1437" w:type="dxa"/>
          </w:tcPr>
          <w:p w14:paraId="403EA70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marina</w:t>
            </w:r>
          </w:p>
        </w:tc>
        <w:tc>
          <w:tcPr>
            <w:tcW w:w="1231" w:type="dxa"/>
          </w:tcPr>
          <w:p w14:paraId="3E99F4C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33507C9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31C78D5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4F85DAB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D25248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74F64A4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B7B1F81" w14:textId="77777777" w:rsidTr="00822E3C">
        <w:tc>
          <w:tcPr>
            <w:tcW w:w="1437" w:type="dxa"/>
          </w:tcPr>
          <w:p w14:paraId="4481973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reducida</w:t>
            </w:r>
          </w:p>
        </w:tc>
        <w:tc>
          <w:tcPr>
            <w:tcW w:w="1231" w:type="dxa"/>
          </w:tcPr>
          <w:p w14:paraId="3A93AD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4E7291C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1C509B6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B6672C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044EAE5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982015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5B6CB50" w14:textId="77777777" w:rsidTr="00822E3C">
        <w:tc>
          <w:tcPr>
            <w:tcW w:w="1437" w:type="dxa"/>
          </w:tcPr>
          <w:p w14:paraId="6D74861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Agua de terceros</w:t>
            </w:r>
          </w:p>
        </w:tc>
        <w:tc>
          <w:tcPr>
            <w:tcW w:w="1231" w:type="dxa"/>
          </w:tcPr>
          <w:p w14:paraId="2A48B4F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4253196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0902950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431C1D1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2895A6C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102BA71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F96F780" w14:textId="77777777" w:rsidTr="00822E3C">
        <w:tc>
          <w:tcPr>
            <w:tcW w:w="1437" w:type="dxa"/>
          </w:tcPr>
          <w:p w14:paraId="00A2BCB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Consumo total de agua</w:t>
            </w:r>
          </w:p>
        </w:tc>
        <w:tc>
          <w:tcPr>
            <w:tcW w:w="1231" w:type="dxa"/>
          </w:tcPr>
          <w:p w14:paraId="7E2E8DA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AFDED7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A8C5F9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563B66B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3FE04BE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32" w:type="dxa"/>
          </w:tcPr>
          <w:p w14:paraId="1ACDADF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3DA1DA7E" w14:textId="77777777" w:rsidR="00E05B53" w:rsidRPr="00E05B53" w:rsidRDefault="00E05B53" w:rsidP="00E05B53">
      <w:pPr>
        <w:tabs>
          <w:tab w:val="left" w:pos="1290"/>
        </w:tabs>
        <w:jc w:val="both"/>
        <w:rPr>
          <w:rFonts w:ascii="Tahoma" w:eastAsia="Tahoma" w:hAnsi="Tahoma" w:cs="Tahoma"/>
          <w:b/>
          <w:kern w:val="0"/>
          <w:sz w:val="36"/>
          <w:szCs w:val="36"/>
          <w:lang w:val="es-ES" w:eastAsia="es-CO"/>
          <w14:ligatures w14:val="none"/>
        </w:rPr>
      </w:pPr>
      <w:r w:rsidRPr="00E05B53">
        <w:rPr>
          <w:rFonts w:ascii="Tahoma" w:eastAsia="Tahoma" w:hAnsi="Tahoma" w:cs="Tahoma"/>
          <w:b/>
          <w:kern w:val="0"/>
          <w:lang w:val="es-ES" w:eastAsia="es-CO"/>
          <w14:ligatures w14:val="none"/>
        </w:rPr>
        <w:t>GRI 303-2</w:t>
      </w:r>
    </w:p>
    <w:p w14:paraId="0547EA52"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Residuos</w:t>
      </w:r>
    </w:p>
    <w:p w14:paraId="32F4F766"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Residuos generados por la compañía</w:t>
      </w: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533"/>
        <w:gridCol w:w="1160"/>
        <w:gridCol w:w="1134"/>
        <w:gridCol w:w="1276"/>
      </w:tblGrid>
      <w:tr w:rsidR="00E05B53" w:rsidRPr="00E05B53" w14:paraId="07F865BF" w14:textId="77777777" w:rsidTr="00822E3C">
        <w:tc>
          <w:tcPr>
            <w:tcW w:w="3681" w:type="dxa"/>
          </w:tcPr>
          <w:p w14:paraId="7AC3D2F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Residuos generados</w:t>
            </w:r>
            <w:r w:rsidRPr="00E05B53">
              <w:rPr>
                <w:rFonts w:ascii="Tahoma" w:eastAsia="Tahoma" w:hAnsi="Tahoma" w:cs="Tahoma"/>
                <w:kern w:val="0"/>
                <w:lang w:val="es-ES" w:eastAsia="es-CO"/>
                <w14:ligatures w14:val="none"/>
              </w:rPr>
              <w:tab/>
            </w:r>
          </w:p>
        </w:tc>
        <w:tc>
          <w:tcPr>
            <w:tcW w:w="1533" w:type="dxa"/>
          </w:tcPr>
          <w:p w14:paraId="4580BEB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Unidad de medida</w:t>
            </w:r>
          </w:p>
        </w:tc>
        <w:tc>
          <w:tcPr>
            <w:tcW w:w="1160" w:type="dxa"/>
          </w:tcPr>
          <w:p w14:paraId="772272A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2022</w:t>
            </w:r>
          </w:p>
        </w:tc>
        <w:tc>
          <w:tcPr>
            <w:tcW w:w="1134" w:type="dxa"/>
          </w:tcPr>
          <w:p w14:paraId="7F94BB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2023</w:t>
            </w:r>
          </w:p>
        </w:tc>
        <w:tc>
          <w:tcPr>
            <w:tcW w:w="1276" w:type="dxa"/>
          </w:tcPr>
          <w:p w14:paraId="07E8C5C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2024</w:t>
            </w:r>
          </w:p>
        </w:tc>
      </w:tr>
      <w:tr w:rsidR="00E05B53" w:rsidRPr="00E05B53" w14:paraId="15557449" w14:textId="77777777" w:rsidTr="00822E3C">
        <w:tc>
          <w:tcPr>
            <w:tcW w:w="3681" w:type="dxa"/>
          </w:tcPr>
          <w:p w14:paraId="5F640CE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Reciclables</w:t>
            </w:r>
          </w:p>
        </w:tc>
        <w:tc>
          <w:tcPr>
            <w:tcW w:w="1533" w:type="dxa"/>
          </w:tcPr>
          <w:p w14:paraId="1C50D75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6460CB29"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1134" w:type="dxa"/>
          </w:tcPr>
          <w:p w14:paraId="705EDF73"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1276" w:type="dxa"/>
          </w:tcPr>
          <w:p w14:paraId="02AF2CC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A40EEF8" w14:textId="77777777" w:rsidTr="00822E3C">
        <w:tc>
          <w:tcPr>
            <w:tcW w:w="3681" w:type="dxa"/>
          </w:tcPr>
          <w:p w14:paraId="0A5ACB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No reciclables</w:t>
            </w:r>
          </w:p>
        </w:tc>
        <w:tc>
          <w:tcPr>
            <w:tcW w:w="1533" w:type="dxa"/>
          </w:tcPr>
          <w:p w14:paraId="583E843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7163C03E"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70,7</w:t>
            </w:r>
          </w:p>
        </w:tc>
        <w:tc>
          <w:tcPr>
            <w:tcW w:w="1134" w:type="dxa"/>
          </w:tcPr>
          <w:p w14:paraId="1AD3118C"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87,11</w:t>
            </w:r>
          </w:p>
        </w:tc>
        <w:tc>
          <w:tcPr>
            <w:tcW w:w="1276" w:type="dxa"/>
          </w:tcPr>
          <w:p w14:paraId="2E54E77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5CA6CC4" w14:textId="77777777" w:rsidTr="00822E3C">
        <w:tc>
          <w:tcPr>
            <w:tcW w:w="3681" w:type="dxa"/>
          </w:tcPr>
          <w:p w14:paraId="781C43A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Peligrosos</w:t>
            </w:r>
          </w:p>
        </w:tc>
        <w:tc>
          <w:tcPr>
            <w:tcW w:w="1533" w:type="dxa"/>
          </w:tcPr>
          <w:p w14:paraId="6F5D752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6F6343AF"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4,44</w:t>
            </w:r>
          </w:p>
        </w:tc>
        <w:tc>
          <w:tcPr>
            <w:tcW w:w="1134" w:type="dxa"/>
          </w:tcPr>
          <w:p w14:paraId="4E28828A"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2,3</w:t>
            </w:r>
          </w:p>
        </w:tc>
        <w:tc>
          <w:tcPr>
            <w:tcW w:w="1276" w:type="dxa"/>
          </w:tcPr>
          <w:p w14:paraId="0324CC9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6E41F31" w14:textId="77777777" w:rsidTr="00822E3C">
        <w:tc>
          <w:tcPr>
            <w:tcW w:w="3681" w:type="dxa"/>
          </w:tcPr>
          <w:p w14:paraId="31BB6AD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Especiales</w:t>
            </w:r>
          </w:p>
        </w:tc>
        <w:tc>
          <w:tcPr>
            <w:tcW w:w="1533" w:type="dxa"/>
          </w:tcPr>
          <w:p w14:paraId="7DFF214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3FABC8AD"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134" w:type="dxa"/>
          </w:tcPr>
          <w:p w14:paraId="3C3E7DAC"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276" w:type="dxa"/>
          </w:tcPr>
          <w:p w14:paraId="44680DB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279488C" w14:textId="77777777" w:rsidTr="00822E3C">
        <w:tc>
          <w:tcPr>
            <w:tcW w:w="3681" w:type="dxa"/>
          </w:tcPr>
          <w:p w14:paraId="588D8D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Otros residuos</w:t>
            </w:r>
          </w:p>
        </w:tc>
        <w:tc>
          <w:tcPr>
            <w:tcW w:w="1533" w:type="dxa"/>
          </w:tcPr>
          <w:p w14:paraId="497DBE2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77F5F33A"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p>
        </w:tc>
        <w:tc>
          <w:tcPr>
            <w:tcW w:w="1134" w:type="dxa"/>
          </w:tcPr>
          <w:p w14:paraId="3180F653"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276" w:type="dxa"/>
          </w:tcPr>
          <w:p w14:paraId="3B76AA8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6472E71" w14:textId="77777777" w:rsidTr="00822E3C">
        <w:tc>
          <w:tcPr>
            <w:tcW w:w="3681" w:type="dxa"/>
          </w:tcPr>
          <w:p w14:paraId="11E1099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de residuos generados</w:t>
            </w:r>
          </w:p>
        </w:tc>
        <w:tc>
          <w:tcPr>
            <w:tcW w:w="1533" w:type="dxa"/>
          </w:tcPr>
          <w:p w14:paraId="01399A7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60" w:type="dxa"/>
          </w:tcPr>
          <w:p w14:paraId="19E7419D"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1.023,12</w:t>
            </w:r>
          </w:p>
          <w:p w14:paraId="57CCE5F9" w14:textId="77777777" w:rsidR="00E05B53" w:rsidRPr="00E05B53" w:rsidRDefault="00E05B53" w:rsidP="00E05B53">
            <w:pPr>
              <w:jc w:val="center"/>
              <w:rPr>
                <w:rFonts w:ascii="Tahoma" w:eastAsia="Tahoma" w:hAnsi="Tahoma" w:cs="Tahoma"/>
                <w:kern w:val="0"/>
                <w:lang w:val="es-ES" w:eastAsia="es-CO"/>
                <w14:ligatures w14:val="none"/>
              </w:rPr>
            </w:pPr>
          </w:p>
        </w:tc>
        <w:tc>
          <w:tcPr>
            <w:tcW w:w="1134" w:type="dxa"/>
          </w:tcPr>
          <w:p w14:paraId="6A9F60CD" w14:textId="77777777" w:rsidR="00E05B53" w:rsidRPr="00E05B53" w:rsidRDefault="00E05B53" w:rsidP="00E05B53">
            <w:pPr>
              <w:tabs>
                <w:tab w:val="left" w:pos="1290"/>
              </w:tabs>
              <w:jc w:val="center"/>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407,16</w:t>
            </w:r>
          </w:p>
        </w:tc>
        <w:tc>
          <w:tcPr>
            <w:tcW w:w="1276" w:type="dxa"/>
          </w:tcPr>
          <w:p w14:paraId="7F518AC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23CDA003"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306-3</w:t>
      </w:r>
    </w:p>
    <w:p w14:paraId="2280496A"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Composición de residuos y el desglose de dichos residuos en función de la desagregación de estos.</w:t>
      </w: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5"/>
        <w:gridCol w:w="2483"/>
        <w:gridCol w:w="1701"/>
        <w:gridCol w:w="2835"/>
      </w:tblGrid>
      <w:tr w:rsidR="00E05B53" w:rsidRPr="00E05B53" w14:paraId="08ABB3B1" w14:textId="77777777" w:rsidTr="00822E3C">
        <w:tc>
          <w:tcPr>
            <w:tcW w:w="1765" w:type="dxa"/>
          </w:tcPr>
          <w:p w14:paraId="2E8D356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Composición de residuos generados</w:t>
            </w:r>
            <w:r w:rsidRPr="00E05B53">
              <w:rPr>
                <w:rFonts w:ascii="Tahoma" w:eastAsia="Tahoma" w:hAnsi="Tahoma" w:cs="Tahoma"/>
                <w:kern w:val="0"/>
                <w:lang w:val="es-ES" w:eastAsia="es-CO"/>
                <w14:ligatures w14:val="none"/>
              </w:rPr>
              <w:tab/>
            </w:r>
          </w:p>
        </w:tc>
        <w:tc>
          <w:tcPr>
            <w:tcW w:w="2483" w:type="dxa"/>
          </w:tcPr>
          <w:p w14:paraId="7A47B99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Materiales presentes y composición</w:t>
            </w:r>
          </w:p>
        </w:tc>
        <w:tc>
          <w:tcPr>
            <w:tcW w:w="1701" w:type="dxa"/>
          </w:tcPr>
          <w:p w14:paraId="2CA6CC2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Cantidad de activos reportados</w:t>
            </w:r>
          </w:p>
        </w:tc>
        <w:tc>
          <w:tcPr>
            <w:tcW w:w="2835" w:type="dxa"/>
          </w:tcPr>
          <w:p w14:paraId="15F23A1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Metodología de cálculo usada</w:t>
            </w:r>
          </w:p>
        </w:tc>
      </w:tr>
      <w:tr w:rsidR="00E05B53" w:rsidRPr="00E05B53" w14:paraId="24F3158B" w14:textId="77777777" w:rsidTr="00822E3C">
        <w:tc>
          <w:tcPr>
            <w:tcW w:w="1765" w:type="dxa"/>
          </w:tcPr>
          <w:p w14:paraId="3E19424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6A10616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117499F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41423B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8E21759" w14:textId="77777777" w:rsidTr="00822E3C">
        <w:tc>
          <w:tcPr>
            <w:tcW w:w="1765" w:type="dxa"/>
          </w:tcPr>
          <w:p w14:paraId="1C8E4B5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19EE0EC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5CB9693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50055D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4B31CAD" w14:textId="77777777" w:rsidTr="00822E3C">
        <w:tc>
          <w:tcPr>
            <w:tcW w:w="1765" w:type="dxa"/>
          </w:tcPr>
          <w:p w14:paraId="14A6B59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5A90DF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02DC4C6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586C101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12BAA53" w14:textId="77777777" w:rsidTr="00822E3C">
        <w:tc>
          <w:tcPr>
            <w:tcW w:w="1765" w:type="dxa"/>
          </w:tcPr>
          <w:p w14:paraId="265FF82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4ABFF22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40BA3B1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437957D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E4DA352" w14:textId="77777777" w:rsidTr="00822E3C">
        <w:tc>
          <w:tcPr>
            <w:tcW w:w="1765" w:type="dxa"/>
          </w:tcPr>
          <w:p w14:paraId="2331F61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4EBB86B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0B2BB53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26D46C5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E61C4E1" w14:textId="77777777" w:rsidTr="00822E3C">
        <w:tc>
          <w:tcPr>
            <w:tcW w:w="1765" w:type="dxa"/>
          </w:tcPr>
          <w:p w14:paraId="437F467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483" w:type="dxa"/>
          </w:tcPr>
          <w:p w14:paraId="04BF66F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701" w:type="dxa"/>
          </w:tcPr>
          <w:p w14:paraId="3DDD4D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2835" w:type="dxa"/>
          </w:tcPr>
          <w:p w14:paraId="6DFA823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47CACA39"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306-3</w:t>
      </w:r>
    </w:p>
    <w:p w14:paraId="49BCC86B"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Residuos no destinados a eliminación</w:t>
      </w:r>
    </w:p>
    <w:p w14:paraId="6A61974C"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no destinados a eliminación según su composición</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6"/>
        <w:gridCol w:w="999"/>
        <w:gridCol w:w="944"/>
        <w:gridCol w:w="944"/>
        <w:gridCol w:w="1015"/>
      </w:tblGrid>
      <w:tr w:rsidR="00E05B53" w:rsidRPr="00E05B53" w14:paraId="2E398DF8" w14:textId="77777777" w:rsidTr="00822E3C">
        <w:tc>
          <w:tcPr>
            <w:tcW w:w="4926" w:type="dxa"/>
          </w:tcPr>
          <w:p w14:paraId="3CF6241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Residuos no destinados a eliminación y su composición</w:t>
            </w:r>
            <w:r w:rsidRPr="00E05B53">
              <w:rPr>
                <w:rFonts w:ascii="Tahoma" w:eastAsia="Tahoma" w:hAnsi="Tahoma" w:cs="Tahoma"/>
                <w:kern w:val="0"/>
                <w:lang w:val="es-ES" w:eastAsia="es-CO"/>
                <w14:ligatures w14:val="none"/>
              </w:rPr>
              <w:tab/>
            </w:r>
          </w:p>
        </w:tc>
        <w:tc>
          <w:tcPr>
            <w:tcW w:w="999" w:type="dxa"/>
          </w:tcPr>
          <w:p w14:paraId="49D2516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Unidad de medida</w:t>
            </w:r>
          </w:p>
        </w:tc>
        <w:tc>
          <w:tcPr>
            <w:tcW w:w="944" w:type="dxa"/>
          </w:tcPr>
          <w:p w14:paraId="2489C33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2022</w:t>
            </w:r>
          </w:p>
        </w:tc>
        <w:tc>
          <w:tcPr>
            <w:tcW w:w="944" w:type="dxa"/>
          </w:tcPr>
          <w:p w14:paraId="54131D4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2023</w:t>
            </w:r>
          </w:p>
        </w:tc>
        <w:tc>
          <w:tcPr>
            <w:tcW w:w="1015" w:type="dxa"/>
          </w:tcPr>
          <w:p w14:paraId="7C56EFC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2024</w:t>
            </w:r>
          </w:p>
        </w:tc>
      </w:tr>
      <w:tr w:rsidR="00E05B53" w:rsidRPr="00E05B53" w14:paraId="05D8F40F" w14:textId="77777777" w:rsidTr="00822E3C">
        <w:tc>
          <w:tcPr>
            <w:tcW w:w="4926" w:type="dxa"/>
          </w:tcPr>
          <w:p w14:paraId="7108337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Reciclables</w:t>
            </w:r>
          </w:p>
        </w:tc>
        <w:tc>
          <w:tcPr>
            <w:tcW w:w="999" w:type="dxa"/>
          </w:tcPr>
          <w:p w14:paraId="62AC3EC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04F1B9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944" w:type="dxa"/>
          </w:tcPr>
          <w:p w14:paraId="485EAAB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1015" w:type="dxa"/>
          </w:tcPr>
          <w:p w14:paraId="72C8365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FC952CF" w14:textId="77777777" w:rsidTr="00822E3C">
        <w:tc>
          <w:tcPr>
            <w:tcW w:w="4926" w:type="dxa"/>
          </w:tcPr>
          <w:p w14:paraId="6F17981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No reciclables</w:t>
            </w:r>
          </w:p>
        </w:tc>
        <w:tc>
          <w:tcPr>
            <w:tcW w:w="999" w:type="dxa"/>
          </w:tcPr>
          <w:p w14:paraId="7733D1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1A00A43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44" w:type="dxa"/>
          </w:tcPr>
          <w:p w14:paraId="25A8598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015" w:type="dxa"/>
          </w:tcPr>
          <w:p w14:paraId="468036F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9A8657B" w14:textId="77777777" w:rsidTr="00822E3C">
        <w:tc>
          <w:tcPr>
            <w:tcW w:w="4926" w:type="dxa"/>
          </w:tcPr>
          <w:p w14:paraId="297AA81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Peligrosos </w:t>
            </w:r>
          </w:p>
        </w:tc>
        <w:tc>
          <w:tcPr>
            <w:tcW w:w="999" w:type="dxa"/>
          </w:tcPr>
          <w:p w14:paraId="618E57F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2CD2472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0,62</w:t>
            </w:r>
          </w:p>
        </w:tc>
        <w:tc>
          <w:tcPr>
            <w:tcW w:w="944" w:type="dxa"/>
          </w:tcPr>
          <w:p w14:paraId="1A00462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0,39</w:t>
            </w:r>
          </w:p>
        </w:tc>
        <w:tc>
          <w:tcPr>
            <w:tcW w:w="1015" w:type="dxa"/>
          </w:tcPr>
          <w:p w14:paraId="1790661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F304EE0" w14:textId="77777777" w:rsidTr="00822E3C">
        <w:tc>
          <w:tcPr>
            <w:tcW w:w="4926" w:type="dxa"/>
          </w:tcPr>
          <w:p w14:paraId="6C49E83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Especiales</w:t>
            </w:r>
          </w:p>
        </w:tc>
        <w:tc>
          <w:tcPr>
            <w:tcW w:w="999" w:type="dxa"/>
          </w:tcPr>
          <w:p w14:paraId="6A5E593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4091D86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44" w:type="dxa"/>
          </w:tcPr>
          <w:p w14:paraId="36284C4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015" w:type="dxa"/>
          </w:tcPr>
          <w:p w14:paraId="430202C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F3221E8" w14:textId="77777777" w:rsidTr="00822E3C">
        <w:tc>
          <w:tcPr>
            <w:tcW w:w="4926" w:type="dxa"/>
          </w:tcPr>
          <w:p w14:paraId="3B4EBA0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Otros residuos</w:t>
            </w:r>
          </w:p>
        </w:tc>
        <w:tc>
          <w:tcPr>
            <w:tcW w:w="999" w:type="dxa"/>
          </w:tcPr>
          <w:p w14:paraId="5643391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6BF1268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44" w:type="dxa"/>
          </w:tcPr>
          <w:p w14:paraId="1D60E63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015" w:type="dxa"/>
          </w:tcPr>
          <w:p w14:paraId="296C6A2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55D301D" w14:textId="77777777" w:rsidTr="00822E3C">
        <w:tc>
          <w:tcPr>
            <w:tcW w:w="4926" w:type="dxa"/>
          </w:tcPr>
          <w:p w14:paraId="014B87C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Total </w:t>
            </w:r>
          </w:p>
        </w:tc>
        <w:tc>
          <w:tcPr>
            <w:tcW w:w="999" w:type="dxa"/>
          </w:tcPr>
          <w:p w14:paraId="49A5274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5FE1836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948,6</w:t>
            </w:r>
          </w:p>
        </w:tc>
        <w:tc>
          <w:tcPr>
            <w:tcW w:w="944" w:type="dxa"/>
          </w:tcPr>
          <w:p w14:paraId="697BB25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318,14</w:t>
            </w:r>
          </w:p>
        </w:tc>
        <w:tc>
          <w:tcPr>
            <w:tcW w:w="1015" w:type="dxa"/>
          </w:tcPr>
          <w:p w14:paraId="49762B0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730BA572"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306-4</w:t>
      </w:r>
    </w:p>
    <w:p w14:paraId="20D6E93F"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peligrosos no destinados a eliminación, dentro y fuera de la compañía</w:t>
      </w:r>
    </w:p>
    <w:tbl>
      <w:tblPr>
        <w:tblW w:w="8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992"/>
        <w:gridCol w:w="726"/>
        <w:gridCol w:w="992"/>
        <w:gridCol w:w="851"/>
      </w:tblGrid>
      <w:tr w:rsidR="00E05B53" w:rsidRPr="00E05B53" w14:paraId="3EE91409" w14:textId="77777777" w:rsidTr="00822E3C">
        <w:tc>
          <w:tcPr>
            <w:tcW w:w="5240" w:type="dxa"/>
          </w:tcPr>
          <w:p w14:paraId="6FBEDFD7"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Residuos peligrosos no destinados a eliminación</w:t>
            </w:r>
            <w:r w:rsidRPr="00E05B53">
              <w:rPr>
                <w:rFonts w:ascii="Tahoma" w:eastAsia="Tahoma" w:hAnsi="Tahoma" w:cs="Tahoma"/>
                <w:b/>
                <w:kern w:val="0"/>
                <w:sz w:val="20"/>
                <w:szCs w:val="20"/>
                <w:lang w:val="es-ES" w:eastAsia="es-CO"/>
                <w14:ligatures w14:val="none"/>
              </w:rPr>
              <w:tab/>
            </w:r>
          </w:p>
        </w:tc>
        <w:tc>
          <w:tcPr>
            <w:tcW w:w="992" w:type="dxa"/>
          </w:tcPr>
          <w:p w14:paraId="089E1FAA"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726" w:type="dxa"/>
          </w:tcPr>
          <w:p w14:paraId="35316718"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992" w:type="dxa"/>
          </w:tcPr>
          <w:p w14:paraId="434CCF3F"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851" w:type="dxa"/>
          </w:tcPr>
          <w:p w14:paraId="74B78152"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3500C840" w14:textId="77777777" w:rsidTr="00822E3C">
        <w:tc>
          <w:tcPr>
            <w:tcW w:w="5240" w:type="dxa"/>
          </w:tcPr>
          <w:p w14:paraId="0EB270A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Preparación para la reutilización en las instalaciones</w:t>
            </w:r>
            <w:r w:rsidRPr="00E05B53">
              <w:rPr>
                <w:rFonts w:ascii="Tahoma" w:eastAsia="Tahoma" w:hAnsi="Tahoma" w:cs="Tahoma"/>
                <w:kern w:val="0"/>
                <w:lang w:val="es-ES" w:eastAsia="es-CO"/>
                <w14:ligatures w14:val="none"/>
              </w:rPr>
              <w:tab/>
            </w:r>
          </w:p>
        </w:tc>
        <w:tc>
          <w:tcPr>
            <w:tcW w:w="992" w:type="dxa"/>
          </w:tcPr>
          <w:p w14:paraId="6E9909F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00202B4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6D287DC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1" w:type="dxa"/>
          </w:tcPr>
          <w:p w14:paraId="456E56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8EDE0C4" w14:textId="77777777" w:rsidTr="00822E3C">
        <w:tc>
          <w:tcPr>
            <w:tcW w:w="5240" w:type="dxa"/>
          </w:tcPr>
          <w:p w14:paraId="7A0F141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Reciclado en las instalaciones</w:t>
            </w:r>
            <w:r w:rsidRPr="00E05B53">
              <w:rPr>
                <w:rFonts w:ascii="Tahoma" w:eastAsia="Tahoma" w:hAnsi="Tahoma" w:cs="Tahoma"/>
                <w:kern w:val="0"/>
                <w:lang w:val="es-ES" w:eastAsia="es-CO"/>
                <w14:ligatures w14:val="none"/>
              </w:rPr>
              <w:tab/>
            </w:r>
          </w:p>
        </w:tc>
        <w:tc>
          <w:tcPr>
            <w:tcW w:w="992" w:type="dxa"/>
          </w:tcPr>
          <w:p w14:paraId="2F81C1B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1FF0845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6911935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1" w:type="dxa"/>
          </w:tcPr>
          <w:p w14:paraId="624E17A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2D17CE5" w14:textId="77777777" w:rsidTr="00822E3C">
        <w:tc>
          <w:tcPr>
            <w:tcW w:w="5240" w:type="dxa"/>
          </w:tcPr>
          <w:p w14:paraId="08D4B88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con valorización en las instalaciones</w:t>
            </w:r>
            <w:r w:rsidRPr="00E05B53">
              <w:rPr>
                <w:rFonts w:ascii="Tahoma" w:eastAsia="Tahoma" w:hAnsi="Tahoma" w:cs="Tahoma"/>
                <w:kern w:val="0"/>
                <w:lang w:val="es-ES" w:eastAsia="es-CO"/>
                <w14:ligatures w14:val="none"/>
              </w:rPr>
              <w:tab/>
            </w:r>
          </w:p>
        </w:tc>
        <w:tc>
          <w:tcPr>
            <w:tcW w:w="992" w:type="dxa"/>
          </w:tcPr>
          <w:p w14:paraId="63B7565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0B788F9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2B2965F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1" w:type="dxa"/>
          </w:tcPr>
          <w:p w14:paraId="6E3A04A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B287C31" w14:textId="77777777" w:rsidTr="00822E3C">
        <w:tc>
          <w:tcPr>
            <w:tcW w:w="5240" w:type="dxa"/>
          </w:tcPr>
          <w:p w14:paraId="79B12B3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residuos en las instalaciones</w:t>
            </w:r>
            <w:r w:rsidRPr="00E05B53">
              <w:rPr>
                <w:rFonts w:ascii="Tahoma" w:eastAsia="Tahoma" w:hAnsi="Tahoma" w:cs="Tahoma"/>
                <w:kern w:val="0"/>
                <w:lang w:val="es-ES" w:eastAsia="es-CO"/>
                <w14:ligatures w14:val="none"/>
              </w:rPr>
              <w:tab/>
            </w:r>
          </w:p>
        </w:tc>
        <w:tc>
          <w:tcPr>
            <w:tcW w:w="992" w:type="dxa"/>
          </w:tcPr>
          <w:p w14:paraId="1CD2D40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5F1C4F6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5C200EB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1" w:type="dxa"/>
          </w:tcPr>
          <w:p w14:paraId="54E187E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32E06BF" w14:textId="77777777" w:rsidTr="00822E3C">
        <w:tc>
          <w:tcPr>
            <w:tcW w:w="5240" w:type="dxa"/>
          </w:tcPr>
          <w:p w14:paraId="0B314FA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Preparación para la reutilización por fuera de las instalaciones</w:t>
            </w:r>
            <w:r w:rsidRPr="00E05B53">
              <w:rPr>
                <w:rFonts w:ascii="Tahoma" w:eastAsia="Tahoma" w:hAnsi="Tahoma" w:cs="Tahoma"/>
                <w:kern w:val="0"/>
                <w:lang w:val="es-ES" w:eastAsia="es-CO"/>
                <w14:ligatures w14:val="none"/>
              </w:rPr>
              <w:tab/>
            </w:r>
          </w:p>
        </w:tc>
        <w:tc>
          <w:tcPr>
            <w:tcW w:w="992" w:type="dxa"/>
          </w:tcPr>
          <w:p w14:paraId="7DC86F4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0D622C4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0,08</w:t>
            </w:r>
          </w:p>
        </w:tc>
        <w:tc>
          <w:tcPr>
            <w:tcW w:w="992" w:type="dxa"/>
          </w:tcPr>
          <w:p w14:paraId="0A492A5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0,38</w:t>
            </w:r>
          </w:p>
        </w:tc>
        <w:tc>
          <w:tcPr>
            <w:tcW w:w="851" w:type="dxa"/>
          </w:tcPr>
          <w:p w14:paraId="33EAD65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1C481D27" w14:textId="77777777" w:rsidTr="00822E3C">
        <w:tc>
          <w:tcPr>
            <w:tcW w:w="5240" w:type="dxa"/>
          </w:tcPr>
          <w:p w14:paraId="27C5B53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Reciclado por fuera de las instalaciones</w:t>
            </w:r>
            <w:r w:rsidRPr="00E05B53">
              <w:rPr>
                <w:rFonts w:ascii="Tahoma" w:eastAsia="Tahoma" w:hAnsi="Tahoma" w:cs="Tahoma"/>
                <w:kern w:val="0"/>
                <w:lang w:val="es-ES" w:eastAsia="es-CO"/>
                <w14:ligatures w14:val="none"/>
              </w:rPr>
              <w:tab/>
            </w:r>
          </w:p>
        </w:tc>
        <w:tc>
          <w:tcPr>
            <w:tcW w:w="992" w:type="dxa"/>
          </w:tcPr>
          <w:p w14:paraId="66C6B58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703004F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0,55</w:t>
            </w:r>
          </w:p>
        </w:tc>
        <w:tc>
          <w:tcPr>
            <w:tcW w:w="992" w:type="dxa"/>
          </w:tcPr>
          <w:p w14:paraId="7D3B65A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0,01</w:t>
            </w:r>
          </w:p>
        </w:tc>
        <w:tc>
          <w:tcPr>
            <w:tcW w:w="851" w:type="dxa"/>
          </w:tcPr>
          <w:p w14:paraId="6AB77D2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E534025" w14:textId="77777777" w:rsidTr="00822E3C">
        <w:tc>
          <w:tcPr>
            <w:tcW w:w="5240" w:type="dxa"/>
          </w:tcPr>
          <w:p w14:paraId="1593238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con valorización fuera de las instalaciones</w:t>
            </w:r>
            <w:r w:rsidRPr="00E05B53">
              <w:rPr>
                <w:rFonts w:ascii="Tahoma" w:eastAsia="Tahoma" w:hAnsi="Tahoma" w:cs="Tahoma"/>
                <w:kern w:val="0"/>
                <w:lang w:val="es-ES" w:eastAsia="es-CO"/>
                <w14:ligatures w14:val="none"/>
              </w:rPr>
              <w:tab/>
            </w:r>
          </w:p>
        </w:tc>
        <w:tc>
          <w:tcPr>
            <w:tcW w:w="992" w:type="dxa"/>
          </w:tcPr>
          <w:p w14:paraId="48C7D5E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3564E3A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2" w:type="dxa"/>
          </w:tcPr>
          <w:p w14:paraId="7A7EE32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1" w:type="dxa"/>
          </w:tcPr>
          <w:p w14:paraId="70DDF6D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856F73D" w14:textId="77777777" w:rsidTr="00822E3C">
        <w:tc>
          <w:tcPr>
            <w:tcW w:w="5240" w:type="dxa"/>
          </w:tcPr>
          <w:p w14:paraId="2AD07B2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residuos por fuera de las instalaciones</w:t>
            </w:r>
            <w:r w:rsidRPr="00E05B53">
              <w:rPr>
                <w:rFonts w:ascii="Tahoma" w:eastAsia="Tahoma" w:hAnsi="Tahoma" w:cs="Tahoma"/>
                <w:kern w:val="0"/>
                <w:lang w:val="es-ES" w:eastAsia="es-CO"/>
                <w14:ligatures w14:val="none"/>
              </w:rPr>
              <w:tab/>
            </w:r>
          </w:p>
        </w:tc>
        <w:tc>
          <w:tcPr>
            <w:tcW w:w="992" w:type="dxa"/>
          </w:tcPr>
          <w:p w14:paraId="1B12158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1FD003D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0,63</w:t>
            </w:r>
          </w:p>
        </w:tc>
        <w:tc>
          <w:tcPr>
            <w:tcW w:w="992" w:type="dxa"/>
          </w:tcPr>
          <w:p w14:paraId="0A30A40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0,39</w:t>
            </w:r>
          </w:p>
        </w:tc>
        <w:tc>
          <w:tcPr>
            <w:tcW w:w="851" w:type="dxa"/>
          </w:tcPr>
          <w:p w14:paraId="0712691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F398A73" w14:textId="77777777" w:rsidTr="00822E3C">
        <w:tc>
          <w:tcPr>
            <w:tcW w:w="5240" w:type="dxa"/>
          </w:tcPr>
          <w:p w14:paraId="6B57D57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preparación para la reutilización</w:t>
            </w:r>
            <w:r w:rsidRPr="00E05B53">
              <w:rPr>
                <w:rFonts w:ascii="Tahoma" w:eastAsia="Tahoma" w:hAnsi="Tahoma" w:cs="Tahoma"/>
                <w:kern w:val="0"/>
                <w:lang w:val="es-ES" w:eastAsia="es-CO"/>
                <w14:ligatures w14:val="none"/>
              </w:rPr>
              <w:tab/>
            </w:r>
          </w:p>
        </w:tc>
        <w:tc>
          <w:tcPr>
            <w:tcW w:w="992" w:type="dxa"/>
          </w:tcPr>
          <w:p w14:paraId="23A555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18CEFC5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0,08</w:t>
            </w:r>
          </w:p>
        </w:tc>
        <w:tc>
          <w:tcPr>
            <w:tcW w:w="992" w:type="dxa"/>
          </w:tcPr>
          <w:p w14:paraId="57B2E5A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0,38</w:t>
            </w:r>
          </w:p>
        </w:tc>
        <w:tc>
          <w:tcPr>
            <w:tcW w:w="851" w:type="dxa"/>
          </w:tcPr>
          <w:p w14:paraId="052107E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53744EB" w14:textId="77777777" w:rsidTr="00822E3C">
        <w:tc>
          <w:tcPr>
            <w:tcW w:w="5240" w:type="dxa"/>
          </w:tcPr>
          <w:p w14:paraId="3D8153F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reciclado</w:t>
            </w:r>
          </w:p>
        </w:tc>
        <w:tc>
          <w:tcPr>
            <w:tcW w:w="992" w:type="dxa"/>
          </w:tcPr>
          <w:p w14:paraId="257E093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6F33389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0,55</w:t>
            </w:r>
          </w:p>
        </w:tc>
        <w:tc>
          <w:tcPr>
            <w:tcW w:w="992" w:type="dxa"/>
          </w:tcPr>
          <w:p w14:paraId="1B0F2E5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0,01</w:t>
            </w:r>
          </w:p>
        </w:tc>
        <w:tc>
          <w:tcPr>
            <w:tcW w:w="851" w:type="dxa"/>
          </w:tcPr>
          <w:p w14:paraId="30714A2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5D3491E" w14:textId="77777777" w:rsidTr="00822E3C">
        <w:tc>
          <w:tcPr>
            <w:tcW w:w="5240" w:type="dxa"/>
          </w:tcPr>
          <w:p w14:paraId="345B911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otras operaciones con valorización</w:t>
            </w:r>
            <w:r w:rsidRPr="00E05B53">
              <w:rPr>
                <w:rFonts w:ascii="Tahoma" w:eastAsia="Tahoma" w:hAnsi="Tahoma" w:cs="Tahoma"/>
                <w:kern w:val="0"/>
                <w:lang w:val="es-ES" w:eastAsia="es-CO"/>
                <w14:ligatures w14:val="none"/>
              </w:rPr>
              <w:tab/>
            </w:r>
          </w:p>
        </w:tc>
        <w:tc>
          <w:tcPr>
            <w:tcW w:w="992" w:type="dxa"/>
          </w:tcPr>
          <w:p w14:paraId="37D8D44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14555E6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992" w:type="dxa"/>
          </w:tcPr>
          <w:p w14:paraId="2A1238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1" w:type="dxa"/>
          </w:tcPr>
          <w:p w14:paraId="180F80F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D36E156" w14:textId="77777777" w:rsidTr="00822E3C">
        <w:tc>
          <w:tcPr>
            <w:tcW w:w="5240" w:type="dxa"/>
          </w:tcPr>
          <w:p w14:paraId="35A8BF0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Total residuos </w:t>
            </w:r>
          </w:p>
        </w:tc>
        <w:tc>
          <w:tcPr>
            <w:tcW w:w="992" w:type="dxa"/>
          </w:tcPr>
          <w:p w14:paraId="25B4E25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726" w:type="dxa"/>
          </w:tcPr>
          <w:p w14:paraId="275C981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0,63</w:t>
            </w:r>
          </w:p>
        </w:tc>
        <w:tc>
          <w:tcPr>
            <w:tcW w:w="992" w:type="dxa"/>
          </w:tcPr>
          <w:p w14:paraId="2643C52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0,39</w:t>
            </w:r>
          </w:p>
        </w:tc>
        <w:tc>
          <w:tcPr>
            <w:tcW w:w="851" w:type="dxa"/>
          </w:tcPr>
          <w:p w14:paraId="10EF73B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4D6F8060"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306-4</w:t>
      </w:r>
    </w:p>
    <w:p w14:paraId="499CBE70"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No peligrosos No destinados a eliminación, dentro y fuera de la compañía</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59"/>
        <w:gridCol w:w="990"/>
        <w:gridCol w:w="944"/>
        <w:gridCol w:w="990"/>
        <w:gridCol w:w="845"/>
      </w:tblGrid>
      <w:tr w:rsidR="00E05B53" w:rsidRPr="00E05B53" w14:paraId="236669BF" w14:textId="77777777" w:rsidTr="00822E3C">
        <w:tc>
          <w:tcPr>
            <w:tcW w:w="5059" w:type="dxa"/>
          </w:tcPr>
          <w:p w14:paraId="1D42A72E"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Residuos No peligrosos no destinados a eliminación</w:t>
            </w:r>
            <w:r w:rsidRPr="00E05B53">
              <w:rPr>
                <w:rFonts w:ascii="Tahoma" w:eastAsia="Tahoma" w:hAnsi="Tahoma" w:cs="Tahoma"/>
                <w:b/>
                <w:kern w:val="0"/>
                <w:sz w:val="20"/>
                <w:szCs w:val="20"/>
                <w:lang w:val="es-ES" w:eastAsia="es-CO"/>
                <w14:ligatures w14:val="none"/>
              </w:rPr>
              <w:tab/>
            </w:r>
          </w:p>
        </w:tc>
        <w:tc>
          <w:tcPr>
            <w:tcW w:w="990" w:type="dxa"/>
          </w:tcPr>
          <w:p w14:paraId="2114570B"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Unidad de medida</w:t>
            </w:r>
          </w:p>
        </w:tc>
        <w:tc>
          <w:tcPr>
            <w:tcW w:w="944" w:type="dxa"/>
          </w:tcPr>
          <w:p w14:paraId="245C17D7"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2022</w:t>
            </w:r>
          </w:p>
        </w:tc>
        <w:tc>
          <w:tcPr>
            <w:tcW w:w="990" w:type="dxa"/>
          </w:tcPr>
          <w:p w14:paraId="7C0B5A95"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2023</w:t>
            </w:r>
          </w:p>
        </w:tc>
        <w:tc>
          <w:tcPr>
            <w:tcW w:w="845" w:type="dxa"/>
          </w:tcPr>
          <w:p w14:paraId="5A9F1145" w14:textId="77777777" w:rsidR="00E05B53" w:rsidRPr="00E05B53" w:rsidRDefault="00E05B53" w:rsidP="00E05B53">
            <w:pPr>
              <w:tabs>
                <w:tab w:val="left" w:pos="1290"/>
              </w:tabs>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2024</w:t>
            </w:r>
          </w:p>
        </w:tc>
      </w:tr>
      <w:tr w:rsidR="00E05B53" w:rsidRPr="00E05B53" w14:paraId="6D754C4E" w14:textId="77777777" w:rsidTr="00822E3C">
        <w:tc>
          <w:tcPr>
            <w:tcW w:w="5059" w:type="dxa"/>
          </w:tcPr>
          <w:p w14:paraId="2AF38A8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Preparación para la reutilización en las instalaciones</w:t>
            </w:r>
            <w:r w:rsidRPr="00E05B53">
              <w:rPr>
                <w:rFonts w:ascii="Tahoma" w:eastAsia="Tahoma" w:hAnsi="Tahoma" w:cs="Tahoma"/>
                <w:kern w:val="0"/>
                <w:lang w:val="es-ES" w:eastAsia="es-CO"/>
                <w14:ligatures w14:val="none"/>
              </w:rPr>
              <w:tab/>
            </w:r>
          </w:p>
        </w:tc>
        <w:tc>
          <w:tcPr>
            <w:tcW w:w="990" w:type="dxa"/>
          </w:tcPr>
          <w:p w14:paraId="5C15EAC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4FDBD12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3EF43D6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3AE4900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841F52A" w14:textId="77777777" w:rsidTr="00822E3C">
        <w:tc>
          <w:tcPr>
            <w:tcW w:w="5059" w:type="dxa"/>
          </w:tcPr>
          <w:p w14:paraId="47FD334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Reciclado en las instalaciones</w:t>
            </w:r>
            <w:r w:rsidRPr="00E05B53">
              <w:rPr>
                <w:rFonts w:ascii="Tahoma" w:eastAsia="Tahoma" w:hAnsi="Tahoma" w:cs="Tahoma"/>
                <w:kern w:val="0"/>
                <w:lang w:val="es-ES" w:eastAsia="es-CO"/>
                <w14:ligatures w14:val="none"/>
              </w:rPr>
              <w:tab/>
            </w:r>
          </w:p>
        </w:tc>
        <w:tc>
          <w:tcPr>
            <w:tcW w:w="990" w:type="dxa"/>
          </w:tcPr>
          <w:p w14:paraId="57A5676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7F7C221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5833F5F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5C6FCE1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C9A4C32" w14:textId="77777777" w:rsidTr="00822E3C">
        <w:tc>
          <w:tcPr>
            <w:tcW w:w="5059" w:type="dxa"/>
          </w:tcPr>
          <w:p w14:paraId="2567179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con valorización en las instalaciones</w:t>
            </w:r>
            <w:r w:rsidRPr="00E05B53">
              <w:rPr>
                <w:rFonts w:ascii="Tahoma" w:eastAsia="Tahoma" w:hAnsi="Tahoma" w:cs="Tahoma"/>
                <w:kern w:val="0"/>
                <w:lang w:val="es-ES" w:eastAsia="es-CO"/>
                <w14:ligatures w14:val="none"/>
              </w:rPr>
              <w:tab/>
            </w:r>
          </w:p>
        </w:tc>
        <w:tc>
          <w:tcPr>
            <w:tcW w:w="990" w:type="dxa"/>
          </w:tcPr>
          <w:p w14:paraId="7EFFB7D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333CACB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39BABAD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4B9E226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8AC6636" w14:textId="77777777" w:rsidTr="00822E3C">
        <w:tc>
          <w:tcPr>
            <w:tcW w:w="5059" w:type="dxa"/>
          </w:tcPr>
          <w:p w14:paraId="1669C2E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residuos en las instalaciones</w:t>
            </w:r>
            <w:r w:rsidRPr="00E05B53">
              <w:rPr>
                <w:rFonts w:ascii="Tahoma" w:eastAsia="Tahoma" w:hAnsi="Tahoma" w:cs="Tahoma"/>
                <w:kern w:val="0"/>
                <w:lang w:val="es-ES" w:eastAsia="es-CO"/>
                <w14:ligatures w14:val="none"/>
              </w:rPr>
              <w:tab/>
            </w:r>
          </w:p>
        </w:tc>
        <w:tc>
          <w:tcPr>
            <w:tcW w:w="990" w:type="dxa"/>
          </w:tcPr>
          <w:p w14:paraId="7267D0B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13BFF04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457192C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3119DFD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E724BAF" w14:textId="77777777" w:rsidTr="00822E3C">
        <w:tc>
          <w:tcPr>
            <w:tcW w:w="5059" w:type="dxa"/>
          </w:tcPr>
          <w:p w14:paraId="18DA072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Preparación para la reutilización por fuera de las instalaciones</w:t>
            </w:r>
            <w:r w:rsidRPr="00E05B53">
              <w:rPr>
                <w:rFonts w:ascii="Tahoma" w:eastAsia="Tahoma" w:hAnsi="Tahoma" w:cs="Tahoma"/>
                <w:kern w:val="0"/>
                <w:lang w:val="es-ES" w:eastAsia="es-CO"/>
                <w14:ligatures w14:val="none"/>
              </w:rPr>
              <w:tab/>
            </w:r>
          </w:p>
        </w:tc>
        <w:tc>
          <w:tcPr>
            <w:tcW w:w="990" w:type="dxa"/>
          </w:tcPr>
          <w:p w14:paraId="7F520FD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0A371B7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7F25E5C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6BEC973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E81B038" w14:textId="77777777" w:rsidTr="00822E3C">
        <w:tc>
          <w:tcPr>
            <w:tcW w:w="5059" w:type="dxa"/>
          </w:tcPr>
          <w:p w14:paraId="31CE5AA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Reciclado por fuera de las instalaciones</w:t>
            </w:r>
            <w:r w:rsidRPr="00E05B53">
              <w:rPr>
                <w:rFonts w:ascii="Tahoma" w:eastAsia="Tahoma" w:hAnsi="Tahoma" w:cs="Tahoma"/>
                <w:kern w:val="0"/>
                <w:lang w:val="es-ES" w:eastAsia="es-CO"/>
                <w14:ligatures w14:val="none"/>
              </w:rPr>
              <w:tab/>
            </w:r>
          </w:p>
        </w:tc>
        <w:tc>
          <w:tcPr>
            <w:tcW w:w="990" w:type="dxa"/>
          </w:tcPr>
          <w:p w14:paraId="5478B00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3505E3F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990" w:type="dxa"/>
          </w:tcPr>
          <w:p w14:paraId="3E0687D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845" w:type="dxa"/>
          </w:tcPr>
          <w:p w14:paraId="1B97180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55FC494" w14:textId="77777777" w:rsidTr="00822E3C">
        <w:tc>
          <w:tcPr>
            <w:tcW w:w="5059" w:type="dxa"/>
          </w:tcPr>
          <w:p w14:paraId="2052087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con valorización fuera de las instalaciones</w:t>
            </w:r>
            <w:r w:rsidRPr="00E05B53">
              <w:rPr>
                <w:rFonts w:ascii="Tahoma" w:eastAsia="Tahoma" w:hAnsi="Tahoma" w:cs="Tahoma"/>
                <w:kern w:val="0"/>
                <w:lang w:val="es-ES" w:eastAsia="es-CO"/>
                <w14:ligatures w14:val="none"/>
              </w:rPr>
              <w:tab/>
            </w:r>
          </w:p>
        </w:tc>
        <w:tc>
          <w:tcPr>
            <w:tcW w:w="990" w:type="dxa"/>
          </w:tcPr>
          <w:p w14:paraId="061CB3C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162A73C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75A844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5359C1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013E666F" w14:textId="77777777" w:rsidTr="00822E3C">
        <w:tc>
          <w:tcPr>
            <w:tcW w:w="5059" w:type="dxa"/>
          </w:tcPr>
          <w:p w14:paraId="36052D2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residuos por fuera de las instalaciones</w:t>
            </w:r>
            <w:r w:rsidRPr="00E05B53">
              <w:rPr>
                <w:rFonts w:ascii="Tahoma" w:eastAsia="Tahoma" w:hAnsi="Tahoma" w:cs="Tahoma"/>
                <w:kern w:val="0"/>
                <w:lang w:val="es-ES" w:eastAsia="es-CO"/>
                <w14:ligatures w14:val="none"/>
              </w:rPr>
              <w:tab/>
            </w:r>
          </w:p>
        </w:tc>
        <w:tc>
          <w:tcPr>
            <w:tcW w:w="990" w:type="dxa"/>
          </w:tcPr>
          <w:p w14:paraId="7FA1B3F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7980F3A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990" w:type="dxa"/>
          </w:tcPr>
          <w:p w14:paraId="6311067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845" w:type="dxa"/>
          </w:tcPr>
          <w:p w14:paraId="1F32F71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2592F56" w14:textId="77777777" w:rsidTr="00822E3C">
        <w:tc>
          <w:tcPr>
            <w:tcW w:w="5059" w:type="dxa"/>
          </w:tcPr>
          <w:p w14:paraId="51EC567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preparación para la reutilización</w:t>
            </w:r>
            <w:r w:rsidRPr="00E05B53">
              <w:rPr>
                <w:rFonts w:ascii="Tahoma" w:eastAsia="Tahoma" w:hAnsi="Tahoma" w:cs="Tahoma"/>
                <w:kern w:val="0"/>
                <w:lang w:val="es-ES" w:eastAsia="es-CO"/>
                <w14:ligatures w14:val="none"/>
              </w:rPr>
              <w:tab/>
            </w:r>
          </w:p>
        </w:tc>
        <w:tc>
          <w:tcPr>
            <w:tcW w:w="990" w:type="dxa"/>
          </w:tcPr>
          <w:p w14:paraId="72BDD82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781AACC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32625EB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02D8CDB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89AC473" w14:textId="77777777" w:rsidTr="00822E3C">
        <w:tc>
          <w:tcPr>
            <w:tcW w:w="5059" w:type="dxa"/>
          </w:tcPr>
          <w:p w14:paraId="4279DD1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reciclado</w:t>
            </w:r>
          </w:p>
        </w:tc>
        <w:tc>
          <w:tcPr>
            <w:tcW w:w="990" w:type="dxa"/>
          </w:tcPr>
          <w:p w14:paraId="5824C7C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1611DFA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990" w:type="dxa"/>
          </w:tcPr>
          <w:p w14:paraId="46BD33B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845" w:type="dxa"/>
          </w:tcPr>
          <w:p w14:paraId="6376334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7E24171" w14:textId="77777777" w:rsidTr="00822E3C">
        <w:tc>
          <w:tcPr>
            <w:tcW w:w="5059" w:type="dxa"/>
          </w:tcPr>
          <w:p w14:paraId="746F417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otras operaciones con valorización</w:t>
            </w:r>
            <w:r w:rsidRPr="00E05B53">
              <w:rPr>
                <w:rFonts w:ascii="Tahoma" w:eastAsia="Tahoma" w:hAnsi="Tahoma" w:cs="Tahoma"/>
                <w:kern w:val="0"/>
                <w:lang w:val="es-ES" w:eastAsia="es-CO"/>
                <w14:ligatures w14:val="none"/>
              </w:rPr>
              <w:tab/>
            </w:r>
          </w:p>
        </w:tc>
        <w:tc>
          <w:tcPr>
            <w:tcW w:w="990" w:type="dxa"/>
          </w:tcPr>
          <w:p w14:paraId="6B2EB22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7975E9E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990" w:type="dxa"/>
          </w:tcPr>
          <w:p w14:paraId="3B9BD58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45" w:type="dxa"/>
          </w:tcPr>
          <w:p w14:paraId="645B91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423AD0E0" w14:textId="77777777" w:rsidTr="00822E3C">
        <w:tc>
          <w:tcPr>
            <w:tcW w:w="5059" w:type="dxa"/>
          </w:tcPr>
          <w:p w14:paraId="2DF5594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Total, residuos </w:t>
            </w:r>
          </w:p>
        </w:tc>
        <w:tc>
          <w:tcPr>
            <w:tcW w:w="990" w:type="dxa"/>
          </w:tcPr>
          <w:p w14:paraId="386FC33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944" w:type="dxa"/>
          </w:tcPr>
          <w:p w14:paraId="32A1634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947,98</w:t>
            </w:r>
          </w:p>
        </w:tc>
        <w:tc>
          <w:tcPr>
            <w:tcW w:w="990" w:type="dxa"/>
          </w:tcPr>
          <w:p w14:paraId="7469B6F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317,75</w:t>
            </w:r>
          </w:p>
        </w:tc>
        <w:tc>
          <w:tcPr>
            <w:tcW w:w="845" w:type="dxa"/>
          </w:tcPr>
          <w:p w14:paraId="169DE3D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656C016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306-4</w:t>
      </w:r>
    </w:p>
    <w:p w14:paraId="7B7FD3EA"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Composición de residuos no destinados a eliminación, dentro y fuera de las instalaciones de la compañía.</w:t>
      </w:r>
    </w:p>
    <w:p w14:paraId="71F1BAFB"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Metodología de cálculo:</w:t>
      </w:r>
    </w:p>
    <w:tbl>
      <w:tblPr>
        <w:tblW w:w="8828" w:type="dxa"/>
        <w:tblLayout w:type="fixed"/>
        <w:tblLook w:val="0400" w:firstRow="0" w:lastRow="0" w:firstColumn="0" w:lastColumn="0" w:noHBand="0" w:noVBand="1"/>
      </w:tblPr>
      <w:tblGrid>
        <w:gridCol w:w="3198"/>
        <w:gridCol w:w="1104"/>
        <w:gridCol w:w="1080"/>
        <w:gridCol w:w="1080"/>
        <w:gridCol w:w="1160"/>
        <w:gridCol w:w="1206"/>
      </w:tblGrid>
      <w:tr w:rsidR="00E05B53" w:rsidRPr="00E05B53" w14:paraId="2D4734E6" w14:textId="77777777" w:rsidTr="00822E3C">
        <w:trPr>
          <w:trHeight w:val="1785"/>
        </w:trPr>
        <w:tc>
          <w:tcPr>
            <w:tcW w:w="31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F1C81"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Composición de residuos no destinados a eliminación</w:t>
            </w:r>
          </w:p>
        </w:tc>
        <w:tc>
          <w:tcPr>
            <w:tcW w:w="1104" w:type="dxa"/>
            <w:tcBorders>
              <w:top w:val="single" w:sz="4" w:space="0" w:color="000000"/>
              <w:left w:val="nil"/>
              <w:bottom w:val="single" w:sz="4" w:space="0" w:color="000000"/>
              <w:right w:val="single" w:sz="4" w:space="0" w:color="000000"/>
            </w:tcBorders>
            <w:shd w:val="clear" w:color="auto" w:fill="auto"/>
            <w:vAlign w:val="center"/>
          </w:tcPr>
          <w:p w14:paraId="30155B4E"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Tipo de operación</w:t>
            </w:r>
          </w:p>
        </w:tc>
        <w:tc>
          <w:tcPr>
            <w:tcW w:w="1080" w:type="dxa"/>
            <w:tcBorders>
              <w:top w:val="single" w:sz="4" w:space="0" w:color="000000"/>
              <w:left w:val="nil"/>
              <w:bottom w:val="single" w:sz="4" w:space="0" w:color="000000"/>
              <w:right w:val="single" w:sz="4" w:space="0" w:color="000000"/>
            </w:tcBorders>
            <w:shd w:val="clear" w:color="auto" w:fill="auto"/>
            <w:vAlign w:val="center"/>
          </w:tcPr>
          <w:p w14:paraId="3E5C7C07"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Cantidad de residuos vendidos</w:t>
            </w:r>
          </w:p>
        </w:tc>
        <w:tc>
          <w:tcPr>
            <w:tcW w:w="1080" w:type="dxa"/>
            <w:tcBorders>
              <w:top w:val="single" w:sz="4" w:space="0" w:color="000000"/>
              <w:left w:val="nil"/>
              <w:bottom w:val="single" w:sz="4" w:space="0" w:color="000000"/>
              <w:right w:val="single" w:sz="4" w:space="0" w:color="000000"/>
            </w:tcBorders>
            <w:shd w:val="clear" w:color="auto" w:fill="auto"/>
            <w:vAlign w:val="center"/>
          </w:tcPr>
          <w:p w14:paraId="7D0EF753"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Costo residuos vendidos</w:t>
            </w:r>
          </w:p>
        </w:tc>
        <w:tc>
          <w:tcPr>
            <w:tcW w:w="1160" w:type="dxa"/>
            <w:tcBorders>
              <w:top w:val="single" w:sz="4" w:space="0" w:color="000000"/>
              <w:left w:val="nil"/>
              <w:bottom w:val="single" w:sz="4" w:space="0" w:color="000000"/>
              <w:right w:val="single" w:sz="4" w:space="0" w:color="000000"/>
            </w:tcBorders>
            <w:shd w:val="clear" w:color="auto" w:fill="auto"/>
            <w:vAlign w:val="center"/>
          </w:tcPr>
          <w:p w14:paraId="423322BD"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Materiales presentes</w:t>
            </w:r>
          </w:p>
        </w:tc>
        <w:tc>
          <w:tcPr>
            <w:tcW w:w="1206" w:type="dxa"/>
            <w:tcBorders>
              <w:top w:val="single" w:sz="4" w:space="0" w:color="000000"/>
              <w:left w:val="nil"/>
              <w:bottom w:val="single" w:sz="4" w:space="0" w:color="000000"/>
              <w:right w:val="single" w:sz="4" w:space="0" w:color="000000"/>
            </w:tcBorders>
            <w:shd w:val="clear" w:color="auto" w:fill="auto"/>
            <w:vAlign w:val="center"/>
          </w:tcPr>
          <w:p w14:paraId="3EC8829A"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Cantidad de activos reportados</w:t>
            </w:r>
          </w:p>
        </w:tc>
      </w:tr>
      <w:tr w:rsidR="00E05B53" w:rsidRPr="00E05B53" w14:paraId="6B478D4E" w14:textId="77777777" w:rsidTr="00822E3C">
        <w:trPr>
          <w:trHeight w:val="1200"/>
        </w:trPr>
        <w:tc>
          <w:tcPr>
            <w:tcW w:w="3198" w:type="dxa"/>
            <w:tcBorders>
              <w:top w:val="nil"/>
              <w:left w:val="single" w:sz="4" w:space="0" w:color="000000"/>
              <w:bottom w:val="single" w:sz="4" w:space="0" w:color="000000"/>
              <w:right w:val="single" w:sz="4" w:space="0" w:color="000000"/>
            </w:tcBorders>
            <w:shd w:val="clear" w:color="auto" w:fill="auto"/>
            <w:vAlign w:val="center"/>
          </w:tcPr>
          <w:p w14:paraId="1FC52510"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Preparación para la reutilización</w:t>
            </w:r>
          </w:p>
        </w:tc>
        <w:tc>
          <w:tcPr>
            <w:tcW w:w="1104" w:type="dxa"/>
            <w:tcBorders>
              <w:top w:val="nil"/>
              <w:left w:val="nil"/>
              <w:bottom w:val="single" w:sz="4" w:space="0" w:color="000000"/>
              <w:right w:val="single" w:sz="4" w:space="0" w:color="000000"/>
            </w:tcBorders>
            <w:shd w:val="clear" w:color="auto" w:fill="auto"/>
            <w:vAlign w:val="center"/>
          </w:tcPr>
          <w:p w14:paraId="692B918E"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477BDE03"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7600E25E"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60" w:type="dxa"/>
            <w:tcBorders>
              <w:top w:val="nil"/>
              <w:left w:val="nil"/>
              <w:bottom w:val="single" w:sz="4" w:space="0" w:color="000000"/>
              <w:right w:val="single" w:sz="4" w:space="0" w:color="000000"/>
            </w:tcBorders>
            <w:shd w:val="clear" w:color="auto" w:fill="auto"/>
            <w:vAlign w:val="center"/>
          </w:tcPr>
          <w:p w14:paraId="1AF922B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06" w:type="dxa"/>
            <w:tcBorders>
              <w:top w:val="nil"/>
              <w:left w:val="nil"/>
              <w:bottom w:val="single" w:sz="4" w:space="0" w:color="000000"/>
              <w:right w:val="single" w:sz="4" w:space="0" w:color="000000"/>
            </w:tcBorders>
            <w:shd w:val="clear" w:color="auto" w:fill="auto"/>
            <w:vAlign w:val="center"/>
          </w:tcPr>
          <w:p w14:paraId="62B595FA"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r w:rsidR="00E05B53" w:rsidRPr="00E05B53" w14:paraId="125E2ACE" w14:textId="77777777" w:rsidTr="00822E3C">
        <w:trPr>
          <w:trHeight w:val="300"/>
        </w:trPr>
        <w:tc>
          <w:tcPr>
            <w:tcW w:w="3198" w:type="dxa"/>
            <w:tcBorders>
              <w:top w:val="nil"/>
              <w:left w:val="single" w:sz="4" w:space="0" w:color="000000"/>
              <w:bottom w:val="single" w:sz="4" w:space="0" w:color="000000"/>
              <w:right w:val="single" w:sz="4" w:space="0" w:color="000000"/>
            </w:tcBorders>
            <w:shd w:val="clear" w:color="auto" w:fill="auto"/>
            <w:vAlign w:val="center"/>
          </w:tcPr>
          <w:p w14:paraId="3304E259"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Reciclado</w:t>
            </w:r>
          </w:p>
        </w:tc>
        <w:tc>
          <w:tcPr>
            <w:tcW w:w="1104" w:type="dxa"/>
            <w:tcBorders>
              <w:top w:val="nil"/>
              <w:left w:val="nil"/>
              <w:bottom w:val="single" w:sz="4" w:space="0" w:color="000000"/>
              <w:right w:val="single" w:sz="4" w:space="0" w:color="000000"/>
            </w:tcBorders>
            <w:shd w:val="clear" w:color="auto" w:fill="auto"/>
            <w:vAlign w:val="center"/>
          </w:tcPr>
          <w:p w14:paraId="5D6C314B"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1AABF698"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521FF1B8"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60" w:type="dxa"/>
            <w:tcBorders>
              <w:top w:val="nil"/>
              <w:left w:val="nil"/>
              <w:bottom w:val="single" w:sz="4" w:space="0" w:color="000000"/>
              <w:right w:val="single" w:sz="4" w:space="0" w:color="000000"/>
            </w:tcBorders>
            <w:shd w:val="clear" w:color="auto" w:fill="auto"/>
            <w:vAlign w:val="center"/>
          </w:tcPr>
          <w:p w14:paraId="2E890B2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06" w:type="dxa"/>
            <w:tcBorders>
              <w:top w:val="nil"/>
              <w:left w:val="nil"/>
              <w:bottom w:val="single" w:sz="4" w:space="0" w:color="000000"/>
              <w:right w:val="single" w:sz="4" w:space="0" w:color="000000"/>
            </w:tcBorders>
            <w:shd w:val="clear" w:color="auto" w:fill="auto"/>
            <w:vAlign w:val="center"/>
          </w:tcPr>
          <w:p w14:paraId="5A7D421D"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r w:rsidR="00E05B53" w:rsidRPr="00E05B53" w14:paraId="531241E5" w14:textId="77777777" w:rsidTr="00822E3C">
        <w:trPr>
          <w:trHeight w:val="1500"/>
        </w:trPr>
        <w:tc>
          <w:tcPr>
            <w:tcW w:w="3198" w:type="dxa"/>
            <w:tcBorders>
              <w:top w:val="nil"/>
              <w:left w:val="single" w:sz="4" w:space="0" w:color="000000"/>
              <w:bottom w:val="single" w:sz="4" w:space="0" w:color="000000"/>
              <w:right w:val="single" w:sz="4" w:space="0" w:color="000000"/>
            </w:tcBorders>
            <w:shd w:val="clear" w:color="auto" w:fill="auto"/>
            <w:vAlign w:val="center"/>
          </w:tcPr>
          <w:p w14:paraId="419CD343"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de valorización</w:t>
            </w:r>
          </w:p>
        </w:tc>
        <w:tc>
          <w:tcPr>
            <w:tcW w:w="1104" w:type="dxa"/>
            <w:tcBorders>
              <w:top w:val="nil"/>
              <w:left w:val="nil"/>
              <w:bottom w:val="single" w:sz="4" w:space="0" w:color="000000"/>
              <w:right w:val="single" w:sz="4" w:space="0" w:color="000000"/>
            </w:tcBorders>
            <w:shd w:val="clear" w:color="auto" w:fill="auto"/>
            <w:vAlign w:val="center"/>
          </w:tcPr>
          <w:p w14:paraId="3861948C"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128C8538"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33DF7E53"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60" w:type="dxa"/>
            <w:tcBorders>
              <w:top w:val="nil"/>
              <w:left w:val="nil"/>
              <w:bottom w:val="single" w:sz="4" w:space="0" w:color="000000"/>
              <w:right w:val="single" w:sz="4" w:space="0" w:color="000000"/>
            </w:tcBorders>
            <w:shd w:val="clear" w:color="auto" w:fill="auto"/>
            <w:vAlign w:val="center"/>
          </w:tcPr>
          <w:p w14:paraId="1FFE0CD9"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06" w:type="dxa"/>
            <w:tcBorders>
              <w:top w:val="nil"/>
              <w:left w:val="nil"/>
              <w:bottom w:val="single" w:sz="4" w:space="0" w:color="000000"/>
              <w:right w:val="single" w:sz="4" w:space="0" w:color="000000"/>
            </w:tcBorders>
            <w:shd w:val="clear" w:color="auto" w:fill="auto"/>
            <w:vAlign w:val="center"/>
          </w:tcPr>
          <w:p w14:paraId="703F9A60"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r w:rsidR="00E05B53" w:rsidRPr="00E05B53" w14:paraId="7C1A27E2" w14:textId="77777777" w:rsidTr="00822E3C">
        <w:trPr>
          <w:trHeight w:val="300"/>
        </w:trPr>
        <w:tc>
          <w:tcPr>
            <w:tcW w:w="3198" w:type="dxa"/>
            <w:tcBorders>
              <w:top w:val="nil"/>
              <w:left w:val="single" w:sz="4" w:space="0" w:color="000000"/>
              <w:bottom w:val="single" w:sz="4" w:space="0" w:color="000000"/>
              <w:right w:val="single" w:sz="4" w:space="0" w:color="000000"/>
            </w:tcBorders>
            <w:shd w:val="clear" w:color="auto" w:fill="auto"/>
            <w:vAlign w:val="center"/>
          </w:tcPr>
          <w:p w14:paraId="7E76D31E"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w:t>
            </w:r>
          </w:p>
        </w:tc>
        <w:tc>
          <w:tcPr>
            <w:tcW w:w="1104" w:type="dxa"/>
            <w:tcBorders>
              <w:top w:val="nil"/>
              <w:left w:val="nil"/>
              <w:bottom w:val="single" w:sz="4" w:space="0" w:color="000000"/>
              <w:right w:val="single" w:sz="4" w:space="0" w:color="000000"/>
            </w:tcBorders>
            <w:shd w:val="clear" w:color="auto" w:fill="auto"/>
            <w:vAlign w:val="center"/>
          </w:tcPr>
          <w:p w14:paraId="2F8E1970"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7972BAF8"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80" w:type="dxa"/>
            <w:tcBorders>
              <w:top w:val="nil"/>
              <w:left w:val="nil"/>
              <w:bottom w:val="single" w:sz="4" w:space="0" w:color="000000"/>
              <w:right w:val="single" w:sz="4" w:space="0" w:color="000000"/>
            </w:tcBorders>
            <w:shd w:val="clear" w:color="auto" w:fill="auto"/>
            <w:vAlign w:val="center"/>
          </w:tcPr>
          <w:p w14:paraId="417BC1C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60" w:type="dxa"/>
            <w:tcBorders>
              <w:top w:val="nil"/>
              <w:left w:val="nil"/>
              <w:bottom w:val="single" w:sz="4" w:space="0" w:color="000000"/>
              <w:right w:val="single" w:sz="4" w:space="0" w:color="000000"/>
            </w:tcBorders>
            <w:shd w:val="clear" w:color="auto" w:fill="auto"/>
            <w:vAlign w:val="center"/>
          </w:tcPr>
          <w:p w14:paraId="43C557D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06" w:type="dxa"/>
            <w:tcBorders>
              <w:top w:val="nil"/>
              <w:left w:val="nil"/>
              <w:bottom w:val="single" w:sz="4" w:space="0" w:color="000000"/>
              <w:right w:val="single" w:sz="4" w:space="0" w:color="000000"/>
            </w:tcBorders>
            <w:shd w:val="clear" w:color="auto" w:fill="auto"/>
            <w:vAlign w:val="center"/>
          </w:tcPr>
          <w:p w14:paraId="04C7B291"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bl>
    <w:p w14:paraId="127906AF"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lastRenderedPageBreak/>
        <w:t xml:space="preserve">Gri 306-4 </w:t>
      </w:r>
    </w:p>
    <w:p w14:paraId="48022B89" w14:textId="77777777"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sidRPr="00E05B53">
        <w:rPr>
          <w:rFonts w:ascii="Tahoma" w:eastAsia="Tahoma" w:hAnsi="Tahoma" w:cs="Tahoma"/>
          <w:b/>
          <w:kern w:val="0"/>
          <w:sz w:val="32"/>
          <w:szCs w:val="32"/>
          <w:lang w:val="es-ES" w:eastAsia="es-CO"/>
          <w14:ligatures w14:val="none"/>
        </w:rPr>
        <w:t>Residuos destinados a eliminación</w:t>
      </w:r>
    </w:p>
    <w:p w14:paraId="164CF6F2"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destinados a eliminación y el desglose de dichos residuos en función de la composición de los mismo</w:t>
      </w:r>
    </w:p>
    <w:tbl>
      <w:tblPr>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1418"/>
        <w:gridCol w:w="1417"/>
        <w:gridCol w:w="1276"/>
        <w:gridCol w:w="850"/>
      </w:tblGrid>
      <w:tr w:rsidR="00E05B53" w:rsidRPr="00E05B53" w14:paraId="056E03A2" w14:textId="77777777" w:rsidTr="00822E3C">
        <w:tc>
          <w:tcPr>
            <w:tcW w:w="3539" w:type="dxa"/>
          </w:tcPr>
          <w:p w14:paraId="21AA630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destinados a eliminación y su composición</w:t>
            </w:r>
            <w:r w:rsidRPr="00E05B53">
              <w:rPr>
                <w:rFonts w:ascii="Tahoma" w:eastAsia="Tahoma" w:hAnsi="Tahoma" w:cs="Tahoma"/>
                <w:b/>
                <w:kern w:val="0"/>
                <w:lang w:val="es-ES" w:eastAsia="es-CO"/>
                <w14:ligatures w14:val="none"/>
              </w:rPr>
              <w:tab/>
            </w:r>
          </w:p>
        </w:tc>
        <w:tc>
          <w:tcPr>
            <w:tcW w:w="1418" w:type="dxa"/>
          </w:tcPr>
          <w:p w14:paraId="20A5D77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Unidad de medida</w:t>
            </w:r>
          </w:p>
        </w:tc>
        <w:tc>
          <w:tcPr>
            <w:tcW w:w="1417" w:type="dxa"/>
          </w:tcPr>
          <w:p w14:paraId="1547B47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2022</w:t>
            </w:r>
          </w:p>
        </w:tc>
        <w:tc>
          <w:tcPr>
            <w:tcW w:w="1276" w:type="dxa"/>
          </w:tcPr>
          <w:p w14:paraId="7AE40B74"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2023</w:t>
            </w:r>
          </w:p>
        </w:tc>
        <w:tc>
          <w:tcPr>
            <w:tcW w:w="850" w:type="dxa"/>
          </w:tcPr>
          <w:p w14:paraId="19985E80"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2024</w:t>
            </w:r>
          </w:p>
        </w:tc>
      </w:tr>
      <w:tr w:rsidR="00E05B53" w:rsidRPr="00E05B53" w14:paraId="143E4693" w14:textId="77777777" w:rsidTr="00822E3C">
        <w:tc>
          <w:tcPr>
            <w:tcW w:w="3539" w:type="dxa"/>
          </w:tcPr>
          <w:p w14:paraId="688E1AF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Reciclables</w:t>
            </w:r>
          </w:p>
        </w:tc>
        <w:tc>
          <w:tcPr>
            <w:tcW w:w="1418" w:type="dxa"/>
          </w:tcPr>
          <w:p w14:paraId="2EAE648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735287B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948,53</w:t>
            </w:r>
          </w:p>
        </w:tc>
        <w:tc>
          <w:tcPr>
            <w:tcW w:w="1276" w:type="dxa"/>
          </w:tcPr>
          <w:p w14:paraId="402D9C6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0" w:type="dxa"/>
          </w:tcPr>
          <w:p w14:paraId="30D5C6F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1553757" w14:textId="77777777" w:rsidTr="00822E3C">
        <w:tc>
          <w:tcPr>
            <w:tcW w:w="3539" w:type="dxa"/>
          </w:tcPr>
          <w:p w14:paraId="3426374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No reciclables (ordinarios)</w:t>
            </w:r>
          </w:p>
        </w:tc>
        <w:tc>
          <w:tcPr>
            <w:tcW w:w="1418" w:type="dxa"/>
          </w:tcPr>
          <w:p w14:paraId="3922F89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0DA72D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70,7</w:t>
            </w:r>
          </w:p>
        </w:tc>
        <w:tc>
          <w:tcPr>
            <w:tcW w:w="1276" w:type="dxa"/>
          </w:tcPr>
          <w:p w14:paraId="618AF6E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87,11</w:t>
            </w:r>
          </w:p>
        </w:tc>
        <w:tc>
          <w:tcPr>
            <w:tcW w:w="850" w:type="dxa"/>
          </w:tcPr>
          <w:p w14:paraId="2B2FBC3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4185BC9" w14:textId="77777777" w:rsidTr="00822E3C">
        <w:tc>
          <w:tcPr>
            <w:tcW w:w="3539" w:type="dxa"/>
          </w:tcPr>
          <w:p w14:paraId="1D38F3E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Peligrosos</w:t>
            </w:r>
          </w:p>
        </w:tc>
        <w:tc>
          <w:tcPr>
            <w:tcW w:w="1418" w:type="dxa"/>
          </w:tcPr>
          <w:p w14:paraId="2CF0A81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276DAB1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3,81</w:t>
            </w:r>
          </w:p>
        </w:tc>
        <w:tc>
          <w:tcPr>
            <w:tcW w:w="1276" w:type="dxa"/>
          </w:tcPr>
          <w:p w14:paraId="354A3DD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1,91</w:t>
            </w:r>
          </w:p>
        </w:tc>
        <w:tc>
          <w:tcPr>
            <w:tcW w:w="850" w:type="dxa"/>
          </w:tcPr>
          <w:p w14:paraId="7C32634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A1AA891" w14:textId="77777777" w:rsidTr="00822E3C">
        <w:tc>
          <w:tcPr>
            <w:tcW w:w="3539" w:type="dxa"/>
          </w:tcPr>
          <w:p w14:paraId="25860D8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xml:space="preserve">Especiales </w:t>
            </w:r>
          </w:p>
        </w:tc>
        <w:tc>
          <w:tcPr>
            <w:tcW w:w="1418" w:type="dxa"/>
          </w:tcPr>
          <w:p w14:paraId="22C2CAC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25E9944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0CEB125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0" w:type="dxa"/>
          </w:tcPr>
          <w:p w14:paraId="312A2D5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EB0AE56" w14:textId="77777777" w:rsidTr="00822E3C">
        <w:tc>
          <w:tcPr>
            <w:tcW w:w="3539" w:type="dxa"/>
          </w:tcPr>
          <w:p w14:paraId="2BC1987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Otros residuos generados</w:t>
            </w:r>
          </w:p>
        </w:tc>
        <w:tc>
          <w:tcPr>
            <w:tcW w:w="1418" w:type="dxa"/>
          </w:tcPr>
          <w:p w14:paraId="3D030C9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39078E6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71EF7F3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0" w:type="dxa"/>
          </w:tcPr>
          <w:p w14:paraId="0BF0C4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76C1773" w14:textId="77777777" w:rsidTr="00822E3C">
        <w:tc>
          <w:tcPr>
            <w:tcW w:w="3539" w:type="dxa"/>
          </w:tcPr>
          <w:p w14:paraId="4B1CE8A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 residuos generados</w:t>
            </w:r>
          </w:p>
        </w:tc>
        <w:tc>
          <w:tcPr>
            <w:tcW w:w="1418" w:type="dxa"/>
          </w:tcPr>
          <w:p w14:paraId="2F16B04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417" w:type="dxa"/>
          </w:tcPr>
          <w:p w14:paraId="14756A9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74,51</w:t>
            </w:r>
          </w:p>
        </w:tc>
        <w:tc>
          <w:tcPr>
            <w:tcW w:w="1276" w:type="dxa"/>
          </w:tcPr>
          <w:p w14:paraId="7785D6D3"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89,02</w:t>
            </w:r>
          </w:p>
        </w:tc>
        <w:tc>
          <w:tcPr>
            <w:tcW w:w="850" w:type="dxa"/>
          </w:tcPr>
          <w:p w14:paraId="648F458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38CC7FD4"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306-5</w:t>
      </w:r>
    </w:p>
    <w:p w14:paraId="1850B4D2"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peligrosos destinados a eliminación, fuera de la compañía</w:t>
      </w:r>
    </w:p>
    <w:tbl>
      <w:tblPr>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1276"/>
        <w:gridCol w:w="1134"/>
        <w:gridCol w:w="1276"/>
        <w:gridCol w:w="850"/>
      </w:tblGrid>
      <w:tr w:rsidR="00E05B53" w:rsidRPr="00E05B53" w14:paraId="42A31442" w14:textId="77777777" w:rsidTr="00822E3C">
        <w:tc>
          <w:tcPr>
            <w:tcW w:w="3964" w:type="dxa"/>
          </w:tcPr>
          <w:p w14:paraId="6B3596BB"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peligrosos destinados a eliminación</w:t>
            </w:r>
            <w:r w:rsidRPr="00E05B53">
              <w:rPr>
                <w:rFonts w:ascii="Tahoma" w:eastAsia="Tahoma" w:hAnsi="Tahoma" w:cs="Tahoma"/>
                <w:b/>
                <w:kern w:val="0"/>
                <w:lang w:val="es-ES" w:eastAsia="es-CO"/>
                <w14:ligatures w14:val="none"/>
              </w:rPr>
              <w:tab/>
            </w:r>
          </w:p>
        </w:tc>
        <w:tc>
          <w:tcPr>
            <w:tcW w:w="1276" w:type="dxa"/>
          </w:tcPr>
          <w:p w14:paraId="01E477DA"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Unidad de medida</w:t>
            </w:r>
          </w:p>
        </w:tc>
        <w:tc>
          <w:tcPr>
            <w:tcW w:w="1134" w:type="dxa"/>
          </w:tcPr>
          <w:p w14:paraId="34D699AC"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2022</w:t>
            </w:r>
          </w:p>
        </w:tc>
        <w:tc>
          <w:tcPr>
            <w:tcW w:w="1276" w:type="dxa"/>
          </w:tcPr>
          <w:p w14:paraId="27D22D29"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2023</w:t>
            </w:r>
          </w:p>
        </w:tc>
        <w:tc>
          <w:tcPr>
            <w:tcW w:w="850" w:type="dxa"/>
          </w:tcPr>
          <w:p w14:paraId="451B47EC"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2024</w:t>
            </w:r>
          </w:p>
        </w:tc>
      </w:tr>
      <w:tr w:rsidR="00E05B53" w:rsidRPr="00E05B53" w14:paraId="1155DD0E" w14:textId="77777777" w:rsidTr="00822E3C">
        <w:tc>
          <w:tcPr>
            <w:tcW w:w="3964" w:type="dxa"/>
          </w:tcPr>
          <w:p w14:paraId="054CF48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(con recuperación energética) por fuera de las instalaciones</w:t>
            </w:r>
          </w:p>
        </w:tc>
        <w:tc>
          <w:tcPr>
            <w:tcW w:w="1276" w:type="dxa"/>
          </w:tcPr>
          <w:p w14:paraId="744EB77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0AE2105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276" w:type="dxa"/>
          </w:tcPr>
          <w:p w14:paraId="1D9918C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0" w:type="dxa"/>
          </w:tcPr>
          <w:p w14:paraId="1558F90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EC21066" w14:textId="77777777" w:rsidTr="00822E3C">
        <w:tc>
          <w:tcPr>
            <w:tcW w:w="3964" w:type="dxa"/>
          </w:tcPr>
          <w:p w14:paraId="260E2A5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(Sin recuperación energética) por fuera de las instalaciones</w:t>
            </w:r>
          </w:p>
        </w:tc>
        <w:tc>
          <w:tcPr>
            <w:tcW w:w="1276" w:type="dxa"/>
          </w:tcPr>
          <w:p w14:paraId="087A432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556F5EA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2,74</w:t>
            </w:r>
          </w:p>
        </w:tc>
        <w:tc>
          <w:tcPr>
            <w:tcW w:w="1276" w:type="dxa"/>
          </w:tcPr>
          <w:p w14:paraId="2C8EEF9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0,21</w:t>
            </w:r>
          </w:p>
        </w:tc>
        <w:tc>
          <w:tcPr>
            <w:tcW w:w="850" w:type="dxa"/>
          </w:tcPr>
          <w:p w14:paraId="0289E27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3309D29" w14:textId="77777777" w:rsidTr="00822E3C">
        <w:tc>
          <w:tcPr>
            <w:tcW w:w="3964" w:type="dxa"/>
          </w:tcPr>
          <w:p w14:paraId="75FC0E1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Traslado a un vertedero o relleno sanitario</w:t>
            </w:r>
          </w:p>
        </w:tc>
        <w:tc>
          <w:tcPr>
            <w:tcW w:w="1276" w:type="dxa"/>
          </w:tcPr>
          <w:p w14:paraId="61B594D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0E1C127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276" w:type="dxa"/>
          </w:tcPr>
          <w:p w14:paraId="65FE0E1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0" w:type="dxa"/>
          </w:tcPr>
          <w:p w14:paraId="5E6F698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5601B357" w14:textId="77777777" w:rsidTr="00822E3C">
        <w:tc>
          <w:tcPr>
            <w:tcW w:w="3964" w:type="dxa"/>
          </w:tcPr>
          <w:p w14:paraId="2B0A196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lastRenderedPageBreak/>
              <w:t>Otras operaciones de eliminación por fuera de las instalaciones (Otra disposición: Celda de seguridad)</w:t>
            </w:r>
          </w:p>
        </w:tc>
        <w:tc>
          <w:tcPr>
            <w:tcW w:w="1276" w:type="dxa"/>
          </w:tcPr>
          <w:p w14:paraId="3D7DEA8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229AE98D"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1,07</w:t>
            </w:r>
          </w:p>
        </w:tc>
        <w:tc>
          <w:tcPr>
            <w:tcW w:w="1276" w:type="dxa"/>
          </w:tcPr>
          <w:p w14:paraId="2BFE9C0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1,69</w:t>
            </w:r>
          </w:p>
        </w:tc>
        <w:tc>
          <w:tcPr>
            <w:tcW w:w="850" w:type="dxa"/>
          </w:tcPr>
          <w:p w14:paraId="61B41E7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62327567" w14:textId="77777777" w:rsidTr="00822E3C">
        <w:tc>
          <w:tcPr>
            <w:tcW w:w="3964" w:type="dxa"/>
          </w:tcPr>
          <w:p w14:paraId="1A49F0F7" w14:textId="77777777" w:rsidR="00E05B53" w:rsidRPr="00E05B53" w:rsidRDefault="00E05B53" w:rsidP="00E05B53">
            <w:pPr>
              <w:ind w:right="420"/>
              <w:jc w:val="both"/>
              <w:rPr>
                <w:rFonts w:ascii="Tahoma" w:eastAsia="Tahoma" w:hAnsi="Tahoma" w:cs="Tahoma"/>
                <w:b/>
                <w:color w:val="212529"/>
                <w:kern w:val="0"/>
                <w:lang w:val="es-ES" w:eastAsia="es-CO"/>
                <w14:ligatures w14:val="none"/>
              </w:rPr>
            </w:pPr>
            <w:r w:rsidRPr="00E05B53">
              <w:rPr>
                <w:rFonts w:ascii="Tahoma" w:eastAsia="Tahoma" w:hAnsi="Tahoma" w:cs="Tahoma"/>
                <w:b/>
                <w:kern w:val="0"/>
                <w:lang w:val="es-ES" w:eastAsia="es-CO"/>
                <w14:ligatures w14:val="none"/>
              </w:rPr>
              <w:t>Total residuos eliminados por fuera de las instalaciones</w:t>
            </w:r>
          </w:p>
        </w:tc>
        <w:tc>
          <w:tcPr>
            <w:tcW w:w="1276" w:type="dxa"/>
          </w:tcPr>
          <w:p w14:paraId="21ADFDD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2AEFC6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3,81</w:t>
            </w:r>
          </w:p>
        </w:tc>
        <w:tc>
          <w:tcPr>
            <w:tcW w:w="1276" w:type="dxa"/>
          </w:tcPr>
          <w:p w14:paraId="4BAD217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1,9</w:t>
            </w:r>
          </w:p>
        </w:tc>
        <w:tc>
          <w:tcPr>
            <w:tcW w:w="850" w:type="dxa"/>
          </w:tcPr>
          <w:p w14:paraId="4BE9C4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44CEDAD1"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306-5</w:t>
      </w:r>
    </w:p>
    <w:p w14:paraId="4EAD5B11"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no peligrosos destinados a eliminación, fuera de las instalaciones de la compañía</w:t>
      </w:r>
    </w:p>
    <w:tbl>
      <w:tblPr>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1276"/>
        <w:gridCol w:w="1134"/>
        <w:gridCol w:w="1276"/>
        <w:gridCol w:w="850"/>
      </w:tblGrid>
      <w:tr w:rsidR="00E05B53" w:rsidRPr="00E05B53" w14:paraId="5225BB07" w14:textId="77777777" w:rsidTr="00822E3C">
        <w:tc>
          <w:tcPr>
            <w:tcW w:w="3964" w:type="dxa"/>
          </w:tcPr>
          <w:p w14:paraId="6B8B7E8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Residuos No peligrosos destinados a eliminación</w:t>
            </w:r>
            <w:r w:rsidRPr="00E05B53">
              <w:rPr>
                <w:rFonts w:ascii="Tahoma" w:eastAsia="Tahoma" w:hAnsi="Tahoma" w:cs="Tahoma"/>
                <w:b/>
                <w:kern w:val="0"/>
                <w:lang w:val="es-ES" w:eastAsia="es-CO"/>
                <w14:ligatures w14:val="none"/>
              </w:rPr>
              <w:tab/>
            </w:r>
          </w:p>
        </w:tc>
        <w:tc>
          <w:tcPr>
            <w:tcW w:w="1276" w:type="dxa"/>
          </w:tcPr>
          <w:p w14:paraId="6181FBB3"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Unidad de medida</w:t>
            </w:r>
          </w:p>
        </w:tc>
        <w:tc>
          <w:tcPr>
            <w:tcW w:w="1134" w:type="dxa"/>
          </w:tcPr>
          <w:p w14:paraId="52A1E934"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2022</w:t>
            </w:r>
          </w:p>
        </w:tc>
        <w:tc>
          <w:tcPr>
            <w:tcW w:w="1276" w:type="dxa"/>
          </w:tcPr>
          <w:p w14:paraId="287C4E4D"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2023</w:t>
            </w:r>
          </w:p>
        </w:tc>
        <w:tc>
          <w:tcPr>
            <w:tcW w:w="850" w:type="dxa"/>
          </w:tcPr>
          <w:p w14:paraId="43D4B4B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2024</w:t>
            </w:r>
          </w:p>
        </w:tc>
      </w:tr>
      <w:tr w:rsidR="00E05B53" w:rsidRPr="00E05B53" w14:paraId="5790ACB2" w14:textId="77777777" w:rsidTr="00822E3C">
        <w:tc>
          <w:tcPr>
            <w:tcW w:w="3964" w:type="dxa"/>
          </w:tcPr>
          <w:p w14:paraId="0C84E0A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(con recuperación energética) por fuera de las instalaciones</w:t>
            </w:r>
          </w:p>
        </w:tc>
        <w:tc>
          <w:tcPr>
            <w:tcW w:w="1276" w:type="dxa"/>
          </w:tcPr>
          <w:p w14:paraId="60AA0EDF"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77097C6A"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41F6F4E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0" w:type="dxa"/>
          </w:tcPr>
          <w:p w14:paraId="3A1F230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124F61B" w14:textId="77777777" w:rsidTr="00822E3C">
        <w:tc>
          <w:tcPr>
            <w:tcW w:w="3964" w:type="dxa"/>
          </w:tcPr>
          <w:p w14:paraId="643E15F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(Sin recuperación energética) por fuera de las instalaciones</w:t>
            </w:r>
          </w:p>
        </w:tc>
        <w:tc>
          <w:tcPr>
            <w:tcW w:w="1276" w:type="dxa"/>
          </w:tcPr>
          <w:p w14:paraId="3CDE3EE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35204CB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1276" w:type="dxa"/>
          </w:tcPr>
          <w:p w14:paraId="332C84D7"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c>
          <w:tcPr>
            <w:tcW w:w="850" w:type="dxa"/>
          </w:tcPr>
          <w:p w14:paraId="4DF0FCF4"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2B32497D" w14:textId="77777777" w:rsidTr="00822E3C">
        <w:tc>
          <w:tcPr>
            <w:tcW w:w="3964" w:type="dxa"/>
          </w:tcPr>
          <w:p w14:paraId="72023F00"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Traslado a un vertedero o relleno sanitario</w:t>
            </w:r>
          </w:p>
        </w:tc>
        <w:tc>
          <w:tcPr>
            <w:tcW w:w="1276" w:type="dxa"/>
          </w:tcPr>
          <w:p w14:paraId="5B37D0F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075992F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70,7</w:t>
            </w:r>
          </w:p>
        </w:tc>
        <w:tc>
          <w:tcPr>
            <w:tcW w:w="1276" w:type="dxa"/>
          </w:tcPr>
          <w:p w14:paraId="1268D146"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87,11</w:t>
            </w:r>
          </w:p>
        </w:tc>
        <w:tc>
          <w:tcPr>
            <w:tcW w:w="850" w:type="dxa"/>
          </w:tcPr>
          <w:p w14:paraId="5A312A5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305C5AAC" w14:textId="77777777" w:rsidTr="00822E3C">
        <w:tc>
          <w:tcPr>
            <w:tcW w:w="3964" w:type="dxa"/>
          </w:tcPr>
          <w:p w14:paraId="4339F9E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de eliminación por fuera de las instalaciones (Otra disposición: Celda de seguridad)</w:t>
            </w:r>
          </w:p>
        </w:tc>
        <w:tc>
          <w:tcPr>
            <w:tcW w:w="1276" w:type="dxa"/>
          </w:tcPr>
          <w:p w14:paraId="223412C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42C1B85C"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1276" w:type="dxa"/>
          </w:tcPr>
          <w:p w14:paraId="1CCA674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0</w:t>
            </w:r>
          </w:p>
        </w:tc>
        <w:tc>
          <w:tcPr>
            <w:tcW w:w="850" w:type="dxa"/>
          </w:tcPr>
          <w:p w14:paraId="1BE80D8B"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r w:rsidR="00E05B53" w:rsidRPr="00E05B53" w14:paraId="7184D19F" w14:textId="77777777" w:rsidTr="00822E3C">
        <w:tc>
          <w:tcPr>
            <w:tcW w:w="3964" w:type="dxa"/>
          </w:tcPr>
          <w:p w14:paraId="620F55C5" w14:textId="77777777" w:rsidR="00E05B53" w:rsidRPr="00E05B53" w:rsidRDefault="00E05B53" w:rsidP="00E05B53">
            <w:pPr>
              <w:ind w:right="420"/>
              <w:jc w:val="both"/>
              <w:rPr>
                <w:rFonts w:ascii="Tahoma" w:eastAsia="Tahoma" w:hAnsi="Tahoma" w:cs="Tahoma"/>
                <w:b/>
                <w:color w:val="212529"/>
                <w:kern w:val="0"/>
                <w:lang w:val="es-ES" w:eastAsia="es-CO"/>
                <w14:ligatures w14:val="none"/>
              </w:rPr>
            </w:pPr>
            <w:r w:rsidRPr="00E05B53">
              <w:rPr>
                <w:rFonts w:ascii="Tahoma" w:eastAsia="Tahoma" w:hAnsi="Tahoma" w:cs="Tahoma"/>
                <w:b/>
                <w:kern w:val="0"/>
                <w:lang w:val="es-ES" w:eastAsia="es-CO"/>
                <w14:ligatures w14:val="none"/>
              </w:rPr>
              <w:t>Total, residuos eliminados por fuera de las instalaciones</w:t>
            </w:r>
          </w:p>
        </w:tc>
        <w:tc>
          <w:tcPr>
            <w:tcW w:w="1276" w:type="dxa"/>
          </w:tcPr>
          <w:p w14:paraId="015A45E1"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w:t>
            </w:r>
          </w:p>
        </w:tc>
        <w:tc>
          <w:tcPr>
            <w:tcW w:w="1134" w:type="dxa"/>
          </w:tcPr>
          <w:p w14:paraId="7F377E02"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70,7</w:t>
            </w:r>
          </w:p>
        </w:tc>
        <w:tc>
          <w:tcPr>
            <w:tcW w:w="1276" w:type="dxa"/>
          </w:tcPr>
          <w:p w14:paraId="0EEA188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87,11</w:t>
            </w:r>
          </w:p>
        </w:tc>
        <w:tc>
          <w:tcPr>
            <w:tcW w:w="850" w:type="dxa"/>
          </w:tcPr>
          <w:p w14:paraId="45BCA7F9"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p>
        </w:tc>
      </w:tr>
    </w:tbl>
    <w:p w14:paraId="0F6ABC9F"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306-5</w:t>
      </w:r>
    </w:p>
    <w:p w14:paraId="0CD2DCFB"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Composición de residuos destinados a eliminación, dentro y fuera de las instalaciones de la compañía.</w:t>
      </w:r>
    </w:p>
    <w:p w14:paraId="10744C06"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Metodología de cálculo:</w:t>
      </w:r>
    </w:p>
    <w:tbl>
      <w:tblPr>
        <w:tblW w:w="8828" w:type="dxa"/>
        <w:tblLayout w:type="fixed"/>
        <w:tblLook w:val="0400" w:firstRow="0" w:lastRow="0" w:firstColumn="0" w:lastColumn="0" w:noHBand="0" w:noVBand="1"/>
      </w:tblPr>
      <w:tblGrid>
        <w:gridCol w:w="3147"/>
        <w:gridCol w:w="1130"/>
        <w:gridCol w:w="1064"/>
        <w:gridCol w:w="1064"/>
        <w:gridCol w:w="1188"/>
        <w:gridCol w:w="1235"/>
      </w:tblGrid>
      <w:tr w:rsidR="00E05B53" w:rsidRPr="00E05B53" w14:paraId="168B17B6" w14:textId="77777777" w:rsidTr="00822E3C">
        <w:trPr>
          <w:trHeight w:val="1016"/>
        </w:trPr>
        <w:tc>
          <w:tcPr>
            <w:tcW w:w="31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95368E"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lastRenderedPageBreak/>
              <w:t>Composición de residuos destinados a eliminación</w:t>
            </w:r>
          </w:p>
        </w:tc>
        <w:tc>
          <w:tcPr>
            <w:tcW w:w="1130" w:type="dxa"/>
            <w:tcBorders>
              <w:top w:val="single" w:sz="4" w:space="0" w:color="000000"/>
              <w:left w:val="nil"/>
              <w:bottom w:val="single" w:sz="4" w:space="0" w:color="000000"/>
              <w:right w:val="single" w:sz="4" w:space="0" w:color="000000"/>
            </w:tcBorders>
            <w:shd w:val="clear" w:color="auto" w:fill="auto"/>
            <w:vAlign w:val="center"/>
          </w:tcPr>
          <w:p w14:paraId="6F5ABE26"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Tipo de operación</w:t>
            </w:r>
          </w:p>
        </w:tc>
        <w:tc>
          <w:tcPr>
            <w:tcW w:w="1064" w:type="dxa"/>
            <w:tcBorders>
              <w:top w:val="single" w:sz="4" w:space="0" w:color="000000"/>
              <w:left w:val="nil"/>
              <w:bottom w:val="single" w:sz="4" w:space="0" w:color="000000"/>
              <w:right w:val="single" w:sz="4" w:space="0" w:color="000000"/>
            </w:tcBorders>
            <w:shd w:val="clear" w:color="auto" w:fill="auto"/>
            <w:vAlign w:val="center"/>
          </w:tcPr>
          <w:p w14:paraId="073DAC79"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Cantidad de residuos vendidos</w:t>
            </w:r>
          </w:p>
        </w:tc>
        <w:tc>
          <w:tcPr>
            <w:tcW w:w="1064" w:type="dxa"/>
            <w:tcBorders>
              <w:top w:val="single" w:sz="4" w:space="0" w:color="000000"/>
              <w:left w:val="nil"/>
              <w:bottom w:val="single" w:sz="4" w:space="0" w:color="000000"/>
              <w:right w:val="single" w:sz="4" w:space="0" w:color="000000"/>
            </w:tcBorders>
            <w:shd w:val="clear" w:color="auto" w:fill="auto"/>
            <w:vAlign w:val="center"/>
          </w:tcPr>
          <w:p w14:paraId="640E4A63"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Costo residuos vendidos</w:t>
            </w:r>
          </w:p>
        </w:tc>
        <w:tc>
          <w:tcPr>
            <w:tcW w:w="1188" w:type="dxa"/>
            <w:tcBorders>
              <w:top w:val="single" w:sz="4" w:space="0" w:color="000000"/>
              <w:left w:val="nil"/>
              <w:bottom w:val="single" w:sz="4" w:space="0" w:color="000000"/>
              <w:right w:val="single" w:sz="4" w:space="0" w:color="000000"/>
            </w:tcBorders>
            <w:shd w:val="clear" w:color="auto" w:fill="auto"/>
            <w:vAlign w:val="center"/>
          </w:tcPr>
          <w:p w14:paraId="1348AD28"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Materiales presentes</w:t>
            </w:r>
          </w:p>
        </w:tc>
        <w:tc>
          <w:tcPr>
            <w:tcW w:w="1235" w:type="dxa"/>
            <w:tcBorders>
              <w:top w:val="single" w:sz="4" w:space="0" w:color="000000"/>
              <w:left w:val="nil"/>
              <w:bottom w:val="single" w:sz="4" w:space="0" w:color="000000"/>
              <w:right w:val="single" w:sz="4" w:space="0" w:color="000000"/>
            </w:tcBorders>
            <w:shd w:val="clear" w:color="auto" w:fill="auto"/>
            <w:vAlign w:val="center"/>
          </w:tcPr>
          <w:p w14:paraId="66278E4D" w14:textId="77777777" w:rsidR="00E05B53" w:rsidRPr="00E05B53" w:rsidRDefault="00E05B53" w:rsidP="00E05B53">
            <w:pPr>
              <w:spacing w:after="0" w:line="240" w:lineRule="auto"/>
              <w:jc w:val="both"/>
              <w:rPr>
                <w:rFonts w:ascii="Tahoma" w:eastAsia="Tahoma" w:hAnsi="Tahoma" w:cs="Tahoma"/>
                <w:b/>
                <w:kern w:val="0"/>
                <w:sz w:val="20"/>
                <w:szCs w:val="20"/>
                <w:lang w:val="es-ES" w:eastAsia="es-CO"/>
                <w14:ligatures w14:val="none"/>
              </w:rPr>
            </w:pPr>
            <w:r w:rsidRPr="00E05B53">
              <w:rPr>
                <w:rFonts w:ascii="Tahoma" w:eastAsia="Tahoma" w:hAnsi="Tahoma" w:cs="Tahoma"/>
                <w:b/>
                <w:kern w:val="0"/>
                <w:sz w:val="20"/>
                <w:szCs w:val="20"/>
                <w:lang w:val="es-ES" w:eastAsia="es-CO"/>
                <w14:ligatures w14:val="none"/>
              </w:rPr>
              <w:t>Cantidad de activos reportados</w:t>
            </w:r>
          </w:p>
        </w:tc>
      </w:tr>
      <w:tr w:rsidR="00E05B53" w:rsidRPr="00E05B53" w14:paraId="4F28AFFD" w14:textId="77777777" w:rsidTr="00822E3C">
        <w:trPr>
          <w:trHeight w:val="1200"/>
        </w:trPr>
        <w:tc>
          <w:tcPr>
            <w:tcW w:w="3147" w:type="dxa"/>
            <w:tcBorders>
              <w:top w:val="nil"/>
              <w:left w:val="single" w:sz="4" w:space="0" w:color="000000"/>
              <w:bottom w:val="single" w:sz="4" w:space="0" w:color="000000"/>
              <w:right w:val="single" w:sz="4" w:space="0" w:color="000000"/>
            </w:tcBorders>
            <w:shd w:val="clear" w:color="auto" w:fill="auto"/>
            <w:vAlign w:val="center"/>
          </w:tcPr>
          <w:p w14:paraId="71195EA1"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(con recuperación energética)</w:t>
            </w:r>
          </w:p>
        </w:tc>
        <w:tc>
          <w:tcPr>
            <w:tcW w:w="1130" w:type="dxa"/>
            <w:tcBorders>
              <w:top w:val="nil"/>
              <w:left w:val="nil"/>
              <w:bottom w:val="single" w:sz="4" w:space="0" w:color="000000"/>
              <w:right w:val="single" w:sz="4" w:space="0" w:color="000000"/>
            </w:tcBorders>
            <w:shd w:val="clear" w:color="auto" w:fill="auto"/>
            <w:vAlign w:val="center"/>
          </w:tcPr>
          <w:p w14:paraId="75504B8F"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246F9D92"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68FC9DD0"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88" w:type="dxa"/>
            <w:tcBorders>
              <w:top w:val="nil"/>
              <w:left w:val="nil"/>
              <w:bottom w:val="single" w:sz="4" w:space="0" w:color="000000"/>
              <w:right w:val="single" w:sz="4" w:space="0" w:color="000000"/>
            </w:tcBorders>
            <w:shd w:val="clear" w:color="auto" w:fill="auto"/>
            <w:vAlign w:val="center"/>
          </w:tcPr>
          <w:p w14:paraId="3E3F221C"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35" w:type="dxa"/>
            <w:tcBorders>
              <w:top w:val="nil"/>
              <w:left w:val="nil"/>
              <w:bottom w:val="single" w:sz="4" w:space="0" w:color="000000"/>
              <w:right w:val="single" w:sz="4" w:space="0" w:color="000000"/>
            </w:tcBorders>
            <w:shd w:val="clear" w:color="auto" w:fill="auto"/>
            <w:vAlign w:val="center"/>
          </w:tcPr>
          <w:p w14:paraId="170C551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r w:rsidR="00E05B53" w:rsidRPr="00E05B53" w14:paraId="34F475E0" w14:textId="77777777" w:rsidTr="00822E3C">
        <w:trPr>
          <w:trHeight w:val="300"/>
        </w:trPr>
        <w:tc>
          <w:tcPr>
            <w:tcW w:w="3147" w:type="dxa"/>
            <w:tcBorders>
              <w:top w:val="nil"/>
              <w:left w:val="single" w:sz="4" w:space="0" w:color="000000"/>
              <w:bottom w:val="single" w:sz="4" w:space="0" w:color="000000"/>
              <w:right w:val="single" w:sz="4" w:space="0" w:color="000000"/>
            </w:tcBorders>
            <w:shd w:val="clear" w:color="auto" w:fill="auto"/>
            <w:vAlign w:val="center"/>
          </w:tcPr>
          <w:p w14:paraId="66F460F0"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Incineración (sin recuperación energética)</w:t>
            </w:r>
          </w:p>
        </w:tc>
        <w:tc>
          <w:tcPr>
            <w:tcW w:w="1130" w:type="dxa"/>
            <w:tcBorders>
              <w:top w:val="nil"/>
              <w:left w:val="nil"/>
              <w:bottom w:val="single" w:sz="4" w:space="0" w:color="000000"/>
              <w:right w:val="single" w:sz="4" w:space="0" w:color="000000"/>
            </w:tcBorders>
            <w:shd w:val="clear" w:color="auto" w:fill="auto"/>
            <w:vAlign w:val="center"/>
          </w:tcPr>
          <w:p w14:paraId="4837C3D5"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1E60AAC2"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7D8388EC"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88" w:type="dxa"/>
            <w:tcBorders>
              <w:top w:val="nil"/>
              <w:left w:val="nil"/>
              <w:bottom w:val="single" w:sz="4" w:space="0" w:color="000000"/>
              <w:right w:val="single" w:sz="4" w:space="0" w:color="000000"/>
            </w:tcBorders>
            <w:shd w:val="clear" w:color="auto" w:fill="auto"/>
            <w:vAlign w:val="center"/>
          </w:tcPr>
          <w:p w14:paraId="3A28CBA2"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35" w:type="dxa"/>
            <w:tcBorders>
              <w:top w:val="nil"/>
              <w:left w:val="nil"/>
              <w:bottom w:val="single" w:sz="4" w:space="0" w:color="000000"/>
              <w:right w:val="single" w:sz="4" w:space="0" w:color="000000"/>
            </w:tcBorders>
            <w:shd w:val="clear" w:color="auto" w:fill="auto"/>
            <w:vAlign w:val="center"/>
          </w:tcPr>
          <w:p w14:paraId="4A18D01B"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r w:rsidR="00E05B53" w:rsidRPr="00E05B53" w14:paraId="6C7B14CA" w14:textId="77777777" w:rsidTr="00822E3C">
        <w:trPr>
          <w:trHeight w:val="300"/>
        </w:trPr>
        <w:tc>
          <w:tcPr>
            <w:tcW w:w="3147" w:type="dxa"/>
            <w:tcBorders>
              <w:top w:val="nil"/>
              <w:left w:val="single" w:sz="4" w:space="0" w:color="000000"/>
              <w:bottom w:val="single" w:sz="4" w:space="0" w:color="000000"/>
              <w:right w:val="single" w:sz="4" w:space="0" w:color="000000"/>
            </w:tcBorders>
            <w:shd w:val="clear" w:color="auto" w:fill="auto"/>
            <w:vAlign w:val="center"/>
          </w:tcPr>
          <w:p w14:paraId="215AD29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Traslado a un vertedero o relleno sanitario</w:t>
            </w:r>
          </w:p>
        </w:tc>
        <w:tc>
          <w:tcPr>
            <w:tcW w:w="1130" w:type="dxa"/>
            <w:tcBorders>
              <w:top w:val="nil"/>
              <w:left w:val="nil"/>
              <w:bottom w:val="single" w:sz="4" w:space="0" w:color="000000"/>
              <w:right w:val="single" w:sz="4" w:space="0" w:color="000000"/>
            </w:tcBorders>
            <w:shd w:val="clear" w:color="auto" w:fill="auto"/>
            <w:vAlign w:val="center"/>
          </w:tcPr>
          <w:p w14:paraId="344DB7E2"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064" w:type="dxa"/>
            <w:tcBorders>
              <w:top w:val="nil"/>
              <w:left w:val="nil"/>
              <w:bottom w:val="single" w:sz="4" w:space="0" w:color="000000"/>
              <w:right w:val="single" w:sz="4" w:space="0" w:color="000000"/>
            </w:tcBorders>
            <w:shd w:val="clear" w:color="auto" w:fill="auto"/>
            <w:vAlign w:val="center"/>
          </w:tcPr>
          <w:p w14:paraId="2494287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064" w:type="dxa"/>
            <w:tcBorders>
              <w:top w:val="nil"/>
              <w:left w:val="nil"/>
              <w:bottom w:val="single" w:sz="4" w:space="0" w:color="000000"/>
              <w:right w:val="single" w:sz="4" w:space="0" w:color="000000"/>
            </w:tcBorders>
            <w:shd w:val="clear" w:color="auto" w:fill="auto"/>
            <w:vAlign w:val="center"/>
          </w:tcPr>
          <w:p w14:paraId="62E0AB5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188" w:type="dxa"/>
            <w:tcBorders>
              <w:top w:val="nil"/>
              <w:left w:val="nil"/>
              <w:bottom w:val="single" w:sz="4" w:space="0" w:color="000000"/>
              <w:right w:val="single" w:sz="4" w:space="0" w:color="000000"/>
            </w:tcBorders>
            <w:shd w:val="clear" w:color="auto" w:fill="auto"/>
            <w:vAlign w:val="center"/>
          </w:tcPr>
          <w:p w14:paraId="6019906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235" w:type="dxa"/>
            <w:tcBorders>
              <w:top w:val="nil"/>
              <w:left w:val="nil"/>
              <w:bottom w:val="single" w:sz="4" w:space="0" w:color="000000"/>
              <w:right w:val="single" w:sz="4" w:space="0" w:color="000000"/>
            </w:tcBorders>
            <w:shd w:val="clear" w:color="auto" w:fill="auto"/>
            <w:vAlign w:val="center"/>
          </w:tcPr>
          <w:p w14:paraId="4FC5A5EB"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r>
      <w:tr w:rsidR="00E05B53" w:rsidRPr="00E05B53" w14:paraId="2DE58AD7" w14:textId="77777777" w:rsidTr="00822E3C">
        <w:trPr>
          <w:trHeight w:val="300"/>
        </w:trPr>
        <w:tc>
          <w:tcPr>
            <w:tcW w:w="3147" w:type="dxa"/>
            <w:tcBorders>
              <w:top w:val="nil"/>
              <w:left w:val="single" w:sz="4" w:space="0" w:color="000000"/>
              <w:bottom w:val="single" w:sz="4" w:space="0" w:color="000000"/>
              <w:right w:val="single" w:sz="4" w:space="0" w:color="000000"/>
            </w:tcBorders>
            <w:shd w:val="clear" w:color="auto" w:fill="auto"/>
            <w:vAlign w:val="center"/>
          </w:tcPr>
          <w:p w14:paraId="48D9833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Otras operaciones de eliminación</w:t>
            </w:r>
          </w:p>
        </w:tc>
        <w:tc>
          <w:tcPr>
            <w:tcW w:w="1130" w:type="dxa"/>
            <w:tcBorders>
              <w:top w:val="nil"/>
              <w:left w:val="nil"/>
              <w:bottom w:val="single" w:sz="4" w:space="0" w:color="000000"/>
              <w:right w:val="single" w:sz="4" w:space="0" w:color="000000"/>
            </w:tcBorders>
            <w:shd w:val="clear" w:color="auto" w:fill="auto"/>
            <w:vAlign w:val="center"/>
          </w:tcPr>
          <w:p w14:paraId="5B8BBC28"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064" w:type="dxa"/>
            <w:tcBorders>
              <w:top w:val="nil"/>
              <w:left w:val="nil"/>
              <w:bottom w:val="single" w:sz="4" w:space="0" w:color="000000"/>
              <w:right w:val="single" w:sz="4" w:space="0" w:color="000000"/>
            </w:tcBorders>
            <w:shd w:val="clear" w:color="auto" w:fill="auto"/>
            <w:vAlign w:val="center"/>
          </w:tcPr>
          <w:p w14:paraId="1ABE28F2"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064" w:type="dxa"/>
            <w:tcBorders>
              <w:top w:val="nil"/>
              <w:left w:val="nil"/>
              <w:bottom w:val="single" w:sz="4" w:space="0" w:color="000000"/>
              <w:right w:val="single" w:sz="4" w:space="0" w:color="000000"/>
            </w:tcBorders>
            <w:shd w:val="clear" w:color="auto" w:fill="auto"/>
            <w:vAlign w:val="center"/>
          </w:tcPr>
          <w:p w14:paraId="0C357A4C"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188" w:type="dxa"/>
            <w:tcBorders>
              <w:top w:val="nil"/>
              <w:left w:val="nil"/>
              <w:bottom w:val="single" w:sz="4" w:space="0" w:color="000000"/>
              <w:right w:val="single" w:sz="4" w:space="0" w:color="000000"/>
            </w:tcBorders>
            <w:shd w:val="clear" w:color="auto" w:fill="auto"/>
            <w:vAlign w:val="center"/>
          </w:tcPr>
          <w:p w14:paraId="7AA179CA"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c>
          <w:tcPr>
            <w:tcW w:w="1235" w:type="dxa"/>
            <w:tcBorders>
              <w:top w:val="nil"/>
              <w:left w:val="nil"/>
              <w:bottom w:val="single" w:sz="4" w:space="0" w:color="000000"/>
              <w:right w:val="single" w:sz="4" w:space="0" w:color="000000"/>
            </w:tcBorders>
            <w:shd w:val="clear" w:color="auto" w:fill="auto"/>
            <w:vAlign w:val="center"/>
          </w:tcPr>
          <w:p w14:paraId="1FCA45D4"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p>
        </w:tc>
      </w:tr>
      <w:tr w:rsidR="00E05B53" w:rsidRPr="00E05B53" w14:paraId="274C7F6F" w14:textId="77777777" w:rsidTr="00822E3C">
        <w:trPr>
          <w:trHeight w:val="300"/>
        </w:trPr>
        <w:tc>
          <w:tcPr>
            <w:tcW w:w="3147" w:type="dxa"/>
            <w:tcBorders>
              <w:top w:val="nil"/>
              <w:left w:val="single" w:sz="4" w:space="0" w:color="000000"/>
              <w:bottom w:val="single" w:sz="4" w:space="0" w:color="000000"/>
              <w:right w:val="single" w:sz="4" w:space="0" w:color="000000"/>
            </w:tcBorders>
            <w:shd w:val="clear" w:color="auto" w:fill="auto"/>
            <w:vAlign w:val="center"/>
          </w:tcPr>
          <w:p w14:paraId="5A0C361E"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Total</w:t>
            </w:r>
          </w:p>
        </w:tc>
        <w:tc>
          <w:tcPr>
            <w:tcW w:w="1130" w:type="dxa"/>
            <w:tcBorders>
              <w:top w:val="nil"/>
              <w:left w:val="nil"/>
              <w:bottom w:val="single" w:sz="4" w:space="0" w:color="000000"/>
              <w:right w:val="single" w:sz="4" w:space="0" w:color="000000"/>
            </w:tcBorders>
            <w:shd w:val="clear" w:color="auto" w:fill="auto"/>
            <w:vAlign w:val="center"/>
          </w:tcPr>
          <w:p w14:paraId="2184F8D6"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054AFEB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064" w:type="dxa"/>
            <w:tcBorders>
              <w:top w:val="nil"/>
              <w:left w:val="nil"/>
              <w:bottom w:val="single" w:sz="4" w:space="0" w:color="000000"/>
              <w:right w:val="single" w:sz="4" w:space="0" w:color="000000"/>
            </w:tcBorders>
            <w:shd w:val="clear" w:color="auto" w:fill="auto"/>
            <w:vAlign w:val="center"/>
          </w:tcPr>
          <w:p w14:paraId="291A6535"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188" w:type="dxa"/>
            <w:tcBorders>
              <w:top w:val="nil"/>
              <w:left w:val="nil"/>
              <w:bottom w:val="single" w:sz="4" w:space="0" w:color="000000"/>
              <w:right w:val="single" w:sz="4" w:space="0" w:color="000000"/>
            </w:tcBorders>
            <w:shd w:val="clear" w:color="auto" w:fill="auto"/>
            <w:vAlign w:val="center"/>
          </w:tcPr>
          <w:p w14:paraId="74A97AF7"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c>
          <w:tcPr>
            <w:tcW w:w="1235" w:type="dxa"/>
            <w:tcBorders>
              <w:top w:val="nil"/>
              <w:left w:val="nil"/>
              <w:bottom w:val="single" w:sz="4" w:space="0" w:color="000000"/>
              <w:right w:val="single" w:sz="4" w:space="0" w:color="000000"/>
            </w:tcBorders>
            <w:shd w:val="clear" w:color="auto" w:fill="auto"/>
            <w:vAlign w:val="center"/>
          </w:tcPr>
          <w:p w14:paraId="24DF5855" w14:textId="77777777" w:rsidR="00E05B53" w:rsidRPr="00E05B53" w:rsidRDefault="00E05B53" w:rsidP="00E05B53">
            <w:pPr>
              <w:spacing w:after="0" w:line="240" w:lineRule="auto"/>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 </w:t>
            </w:r>
          </w:p>
        </w:tc>
      </w:tr>
    </w:tbl>
    <w:p w14:paraId="3CC194E6"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GRI 306-5</w:t>
      </w:r>
    </w:p>
    <w:p w14:paraId="697A11A5" w14:textId="55982C53" w:rsidR="00E05B53" w:rsidRPr="00E05B53" w:rsidRDefault="00E05B53" w:rsidP="00E05B53">
      <w:pPr>
        <w:tabs>
          <w:tab w:val="left" w:pos="1290"/>
        </w:tabs>
        <w:jc w:val="both"/>
        <w:rPr>
          <w:rFonts w:ascii="Tahoma" w:eastAsia="Tahoma" w:hAnsi="Tahoma" w:cs="Tahoma"/>
          <w:b/>
          <w:kern w:val="0"/>
          <w:sz w:val="32"/>
          <w:szCs w:val="32"/>
          <w:lang w:val="es-ES" w:eastAsia="es-CO"/>
          <w14:ligatures w14:val="none"/>
        </w:rPr>
      </w:pPr>
      <w:r>
        <w:rPr>
          <w:rFonts w:ascii="Tahoma" w:eastAsia="Tahoma" w:hAnsi="Tahoma" w:cs="Tahoma"/>
          <w:b/>
          <w:kern w:val="0"/>
          <w:sz w:val="32"/>
          <w:szCs w:val="32"/>
          <w:lang w:val="es-ES" w:eastAsia="es-CO"/>
          <w14:ligatures w14:val="none"/>
        </w:rPr>
        <w:t>I</w:t>
      </w:r>
      <w:r w:rsidRPr="00E05B53">
        <w:rPr>
          <w:rFonts w:ascii="Tahoma" w:eastAsia="Tahoma" w:hAnsi="Tahoma" w:cs="Tahoma"/>
          <w:b/>
          <w:kern w:val="0"/>
          <w:sz w:val="32"/>
          <w:szCs w:val="32"/>
          <w:lang w:val="es-ES" w:eastAsia="es-CO"/>
          <w14:ligatures w14:val="none"/>
        </w:rPr>
        <w:t>niciativas</w:t>
      </w:r>
    </w:p>
    <w:p w14:paraId="0B03DBD5"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Gestión de la eficiencia hídrica y energética</w:t>
      </w:r>
    </w:p>
    <w:p w14:paraId="2E153BA5"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TRANSELCA cuenta con programas tanto de eficiencia hídrica como energética y estos están disponibles para el conocimiento público.</w:t>
      </w:r>
    </w:p>
    <w:p w14:paraId="7F9DE46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Actividades en la gestión de eficiencia energética</w:t>
      </w:r>
    </w:p>
    <w:p w14:paraId="675158B4"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realizaron auditorías energéticas para identificar oportunidades de mejora en el rendimiento energético.</w:t>
      </w:r>
    </w:p>
    <w:p w14:paraId="36C4DE43"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establecieron objetivos cuantificados para lograr ahorros de energía.</w:t>
      </w:r>
    </w:p>
    <w:p w14:paraId="398F8742"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implementaron acciones para reducir el consumo de energía.</w:t>
      </w:r>
    </w:p>
    <w:p w14:paraId="5244BD6D"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evaluó el progreso en la disminución del consumo energético.</w:t>
      </w:r>
    </w:p>
    <w:p w14:paraId="3223DF42"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realizaron inversiones en innovación o I+D para disminuir el consumo de energía.</w:t>
      </w:r>
    </w:p>
    <w:p w14:paraId="2538A698" w14:textId="77777777" w:rsidR="00E05B53" w:rsidRPr="00E05B53" w:rsidRDefault="00E05B53" w:rsidP="00164509">
      <w:pPr>
        <w:numPr>
          <w:ilvl w:val="0"/>
          <w:numId w:val="140"/>
        </w:numPr>
        <w:pBdr>
          <w:top w:val="nil"/>
          <w:left w:val="nil"/>
          <w:bottom w:val="nil"/>
          <w:right w:val="nil"/>
          <w:between w:val="nil"/>
        </w:pBdr>
        <w:tabs>
          <w:tab w:val="left" w:pos="1290"/>
        </w:tabs>
        <w:spacing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Se capacitó a los empleados en eficiencia energética con el fin de concienciarlos sobre la reducción del consumo.</w:t>
      </w:r>
    </w:p>
    <w:p w14:paraId="095BD0D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Programa de gestión de residuos</w:t>
      </w:r>
    </w:p>
    <w:p w14:paraId="2268783E"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El programa está disponible según los lineamientos establecidos por la normatividad vigente y se presenta a las autoridades al momento de ser requerido.</w:t>
      </w:r>
    </w:p>
    <w:p w14:paraId="1CD9A0B7"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Licenciamiento ambiental</w:t>
      </w:r>
    </w:p>
    <w:p w14:paraId="63F75D2D" w14:textId="77777777" w:rsidR="00E05B53" w:rsidRPr="00E05B53" w:rsidRDefault="00E05B53" w:rsidP="00E05B53">
      <w:pPr>
        <w:pBdr>
          <w:top w:val="nil"/>
          <w:left w:val="nil"/>
          <w:bottom w:val="nil"/>
          <w:right w:val="nil"/>
          <w:between w:val="nil"/>
        </w:pBdr>
        <w:tabs>
          <w:tab w:val="left" w:pos="1290"/>
        </w:tabs>
        <w:ind w:left="720"/>
        <w:jc w:val="both"/>
        <w:rPr>
          <w:rFonts w:ascii="Tahoma" w:eastAsia="Tahoma" w:hAnsi="Tahoma" w:cs="Tahoma"/>
          <w:color w:val="000000"/>
          <w:kern w:val="0"/>
          <w:lang w:val="es-ES" w:eastAsia="es-CO"/>
          <w14:ligatures w14:val="none"/>
        </w:rPr>
      </w:pPr>
      <w:r w:rsidRPr="00E05B53">
        <w:rPr>
          <w:rFonts w:ascii="Tahoma" w:eastAsia="Tahoma" w:hAnsi="Tahoma" w:cs="Tahoma"/>
          <w:kern w:val="0"/>
          <w:lang w:val="es-ES" w:eastAsia="es-CO"/>
          <w14:ligatures w14:val="none"/>
        </w:rPr>
        <w:lastRenderedPageBreak/>
        <w:t>Durante el año 2024, TRANSELCA tramitó siete proyectos que requirieron licencia ambiental, gestionados conforme a la normativa vigente. Entre ellos se encuentran la Subestación Nueva Barranquilla y la Sede Deportiva, así como diversas líneas de transmisión eléctrica: Nueva Barranquilla - Sabanalarga (827-828), TEBSA - Sabanalarga (801-802), Sabanalarga - Fundación (806-816), TEBSA - Nueva Barranquilla - Sabanalarga (821-822, 821-826), Termoflores - Nueva Barranquilla (824-825) y Cuestecita - Valledupar (819).</w:t>
      </w:r>
    </w:p>
    <w:p w14:paraId="23BE793E" w14:textId="77777777" w:rsidR="00E05B53" w:rsidRPr="00E05B53" w:rsidRDefault="00E05B53" w:rsidP="00E05B53">
      <w:pPr>
        <w:tabs>
          <w:tab w:val="left" w:pos="1290"/>
        </w:tabs>
        <w:jc w:val="both"/>
        <w:rPr>
          <w:rFonts w:ascii="Tahoma" w:eastAsia="Tahoma" w:hAnsi="Tahoma" w:cs="Tahoma"/>
          <w:b/>
          <w:kern w:val="0"/>
          <w:lang w:val="es-ES" w:eastAsia="es-CO"/>
          <w14:ligatures w14:val="none"/>
        </w:rPr>
      </w:pPr>
      <w:r w:rsidRPr="00E05B53">
        <w:rPr>
          <w:rFonts w:ascii="Tahoma" w:eastAsia="Tahoma" w:hAnsi="Tahoma" w:cs="Tahoma"/>
          <w:b/>
          <w:kern w:val="0"/>
          <w:lang w:val="es-ES" w:eastAsia="es-CO"/>
          <w14:ligatures w14:val="none"/>
        </w:rPr>
        <w:t>Cambios en la normatividad de Licenciamiento Ambiental</w:t>
      </w:r>
    </w:p>
    <w:p w14:paraId="5D3DF698" w14:textId="77777777" w:rsidR="00E05B53" w:rsidRPr="00E05B53" w:rsidRDefault="00E05B53" w:rsidP="00E05B53">
      <w:pPr>
        <w:tabs>
          <w:tab w:val="left" w:pos="1290"/>
        </w:tabs>
        <w:jc w:val="both"/>
        <w:rPr>
          <w:rFonts w:ascii="Tahoma" w:eastAsia="Tahoma" w:hAnsi="Tahoma" w:cs="Tahoma"/>
          <w:kern w:val="0"/>
          <w:lang w:val="es-ES" w:eastAsia="es-CO"/>
          <w14:ligatures w14:val="none"/>
        </w:rPr>
      </w:pPr>
      <w:r w:rsidRPr="00E05B53">
        <w:rPr>
          <w:rFonts w:ascii="Tahoma" w:eastAsia="Tahoma" w:hAnsi="Tahoma" w:cs="Tahoma"/>
          <w:kern w:val="0"/>
          <w:lang w:val="es-ES" w:eastAsia="es-CO"/>
          <w14:ligatures w14:val="none"/>
        </w:rPr>
        <w:t>En cuanto a la regulación ambiental a nivel nacional, se destacaron dos hechos relevantes:</w:t>
      </w:r>
    </w:p>
    <w:p w14:paraId="2D2A1277" w14:textId="77777777" w:rsidR="00E05B53" w:rsidRPr="00E05B53" w:rsidRDefault="00E05B53" w:rsidP="00164509">
      <w:pPr>
        <w:numPr>
          <w:ilvl w:val="0"/>
          <w:numId w:val="140"/>
        </w:numPr>
        <w:pBdr>
          <w:top w:val="nil"/>
          <w:left w:val="nil"/>
          <w:bottom w:val="nil"/>
          <w:right w:val="nil"/>
          <w:between w:val="nil"/>
        </w:pBdr>
        <w:tabs>
          <w:tab w:val="left" w:pos="1290"/>
        </w:tabs>
        <w:spacing w:after="0" w:line="259" w:lineRule="auto"/>
        <w:jc w:val="both"/>
        <w:rPr>
          <w:rFonts w:ascii="Tahoma" w:eastAsia="Tahoma" w:hAnsi="Tahoma" w:cs="Tahoma"/>
          <w:color w:val="000000"/>
          <w:kern w:val="0"/>
          <w:lang w:val="es-ES" w:eastAsia="es-CO"/>
          <w14:ligatures w14:val="none"/>
        </w:rPr>
      </w:pPr>
      <w:r w:rsidRPr="00E05B53">
        <w:rPr>
          <w:rFonts w:ascii="Tahoma" w:eastAsia="Tahoma" w:hAnsi="Tahoma" w:cs="Tahoma"/>
          <w:color w:val="000000"/>
          <w:kern w:val="0"/>
          <w:lang w:val="es-ES" w:eastAsia="es-CO"/>
          <w14:ligatures w14:val="none"/>
        </w:rPr>
        <w:t>El Decreto 1275 de 2024, que estableció la competencia ambiental de las autoridades indígenas.</w:t>
      </w:r>
    </w:p>
    <w:p w14:paraId="421332A0" w14:textId="77777777" w:rsidR="00E05B53" w:rsidRPr="00E05B53" w:rsidRDefault="00E05B53" w:rsidP="00164509">
      <w:pPr>
        <w:numPr>
          <w:ilvl w:val="0"/>
          <w:numId w:val="140"/>
        </w:numPr>
        <w:pBdr>
          <w:top w:val="nil"/>
          <w:left w:val="nil"/>
          <w:bottom w:val="nil"/>
          <w:right w:val="nil"/>
          <w:between w:val="nil"/>
        </w:pBdr>
        <w:tabs>
          <w:tab w:val="left" w:pos="1290"/>
        </w:tabs>
        <w:spacing w:line="259" w:lineRule="auto"/>
        <w:jc w:val="both"/>
        <w:rPr>
          <w:rFonts w:ascii="Tahoma" w:eastAsia="Tahoma" w:hAnsi="Tahoma" w:cs="Tahoma"/>
          <w:b/>
          <w:color w:val="000000"/>
          <w:kern w:val="0"/>
          <w:lang w:val="es-ES" w:eastAsia="es-CO"/>
          <w14:ligatures w14:val="none"/>
        </w:rPr>
      </w:pPr>
      <w:r w:rsidRPr="00E05B53">
        <w:rPr>
          <w:rFonts w:ascii="Tahoma" w:eastAsia="Tahoma" w:hAnsi="Tahoma" w:cs="Tahoma"/>
          <w:color w:val="000000"/>
          <w:kern w:val="0"/>
          <w:lang w:val="es-ES" w:eastAsia="es-CO"/>
          <w14:ligatures w14:val="none"/>
        </w:rPr>
        <w:t>La declaratoria de exequibilidad del Acuerdo de Escazú. Se previó que esta normativa sería reglamentada a partir de 2025.</w:t>
      </w:r>
    </w:p>
    <w:p w14:paraId="758A0454" w14:textId="77777777" w:rsidR="00E05B53" w:rsidRPr="00E05B53" w:rsidRDefault="00E05B53" w:rsidP="00E05B53">
      <w:pPr>
        <w:rPr>
          <w:rFonts w:ascii="Tahoma" w:eastAsia="Aptos" w:hAnsi="Tahoma" w:cs="Tahoma"/>
          <w:kern w:val="0"/>
          <w:lang w:val="es-ES" w:eastAsia="es-CO"/>
          <w14:ligatures w14:val="none"/>
        </w:rPr>
      </w:pPr>
    </w:p>
    <w:p w14:paraId="541E28CF" w14:textId="4AD51369" w:rsidR="0031711E" w:rsidRDefault="0031711E" w:rsidP="00415262">
      <w:pPr>
        <w:rPr>
          <w:rFonts w:ascii="Calibri" w:hAnsi="Calibri" w:cs="Calibri"/>
          <w:sz w:val="52"/>
          <w:szCs w:val="52"/>
          <w:lang w:val="es-ES"/>
        </w:rPr>
      </w:pPr>
    </w:p>
    <w:p w14:paraId="5F89E3DC" w14:textId="4B4608C8" w:rsidR="0031711E" w:rsidRDefault="0031711E">
      <w:pPr>
        <w:rPr>
          <w:rFonts w:ascii="Calibri" w:hAnsi="Calibri" w:cs="Calibri"/>
          <w:sz w:val="52"/>
          <w:szCs w:val="52"/>
          <w:lang w:val="es-ES"/>
        </w:rPr>
      </w:pPr>
      <w:r>
        <w:rPr>
          <w:rFonts w:ascii="Calibri" w:hAnsi="Calibri" w:cs="Calibri"/>
          <w:sz w:val="52"/>
          <w:szCs w:val="52"/>
          <w:lang w:val="es-ES"/>
        </w:rPr>
        <w:br w:type="page"/>
      </w:r>
    </w:p>
    <w:p w14:paraId="4F0B682A" w14:textId="709A6CF1" w:rsidR="0031711E" w:rsidRDefault="0031711E" w:rsidP="00415262">
      <w:pPr>
        <w:rPr>
          <w:rFonts w:ascii="Calibri" w:hAnsi="Calibri" w:cs="Calibri"/>
          <w:sz w:val="52"/>
          <w:szCs w:val="52"/>
          <w:lang w:val="es-ES"/>
        </w:rPr>
      </w:pPr>
      <w:bookmarkStart w:id="14" w:name="DESEMPENOECONOMICO"/>
      <w:r>
        <w:rPr>
          <w:rFonts w:ascii="Calibri" w:hAnsi="Calibri" w:cs="Calibri"/>
          <w:noProof/>
          <w:sz w:val="52"/>
          <w:szCs w:val="52"/>
          <w:lang w:val="es-ES"/>
        </w:rPr>
        <w:lastRenderedPageBreak/>
        <w:drawing>
          <wp:inline distT="0" distB="0" distL="0" distR="0" wp14:anchorId="6F5241EC" wp14:editId="0396D402">
            <wp:extent cx="5612130" cy="7262495"/>
            <wp:effectExtent l="0" t="0" r="1270" b="1905"/>
            <wp:docPr id="33270450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04502" name="Imagen 33270450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bookmarkEnd w:id="14"/>
    </w:p>
    <w:p w14:paraId="19B8D794" w14:textId="77777777" w:rsidR="009D4E93" w:rsidRDefault="009D4E93" w:rsidP="00415262">
      <w:pPr>
        <w:rPr>
          <w:rFonts w:ascii="Calibri" w:hAnsi="Calibri" w:cs="Calibri"/>
          <w:sz w:val="52"/>
          <w:szCs w:val="52"/>
          <w:lang w:val="es-ES"/>
        </w:rPr>
      </w:pPr>
    </w:p>
    <w:p w14:paraId="6CBBA142" w14:textId="6F2D6399" w:rsidR="00D73106" w:rsidRPr="007109C4" w:rsidRDefault="007109C4" w:rsidP="009D4E93">
      <w:pPr>
        <w:spacing w:line="259" w:lineRule="auto"/>
        <w:jc w:val="both"/>
        <w:rPr>
          <w:rFonts w:ascii="Tahoma" w:hAnsi="Tahoma" w:cs="Tahoma"/>
          <w:bCs/>
          <w:color w:val="0070C0"/>
          <w:kern w:val="0"/>
          <w:sz w:val="40"/>
          <w:szCs w:val="40"/>
          <w14:ligatures w14:val="none"/>
        </w:rPr>
      </w:pPr>
      <w:r w:rsidRPr="007109C4">
        <w:rPr>
          <w:rFonts w:ascii="Tahoma" w:hAnsi="Tahoma" w:cs="Tahoma"/>
          <w:b/>
          <w:color w:val="0070C0"/>
          <w:kern w:val="0"/>
          <w:sz w:val="40"/>
          <w:szCs w:val="40"/>
          <w14:ligatures w14:val="none"/>
        </w:rPr>
        <w:lastRenderedPageBreak/>
        <w:t>Desempeño económico</w:t>
      </w:r>
    </w:p>
    <w:p w14:paraId="32E41ACE" w14:textId="74ACF585" w:rsidR="009D4E93" w:rsidRPr="00D73106" w:rsidRDefault="007109C4" w:rsidP="009D4E93">
      <w:pPr>
        <w:spacing w:line="259" w:lineRule="auto"/>
        <w:jc w:val="both"/>
        <w:rPr>
          <w:rFonts w:ascii="Tahoma" w:hAnsi="Tahoma" w:cs="Tahoma"/>
          <w:b/>
          <w:kern w:val="0"/>
          <w:sz w:val="36"/>
          <w:szCs w:val="36"/>
          <w14:ligatures w14:val="none"/>
        </w:rPr>
      </w:pPr>
      <w:r w:rsidRPr="00D73106">
        <w:rPr>
          <w:rFonts w:ascii="Tahoma" w:hAnsi="Tahoma" w:cs="Tahoma"/>
          <w:b/>
          <w:kern w:val="0"/>
          <w:sz w:val="36"/>
          <w:szCs w:val="36"/>
          <w14:ligatures w14:val="none"/>
        </w:rPr>
        <w:t>Logros y resultados:</w:t>
      </w:r>
    </w:p>
    <w:p w14:paraId="73E51817" w14:textId="3FF153EC"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 xml:space="preserve">TRANSELCA realizó una óptima gestión contable, presupuestaria y tributaria dentro del marco de operación </w:t>
      </w:r>
      <w:r w:rsidR="007109C4" w:rsidRPr="009D4E93">
        <w:rPr>
          <w:rFonts w:ascii="Tahoma" w:eastAsia="Times New Roman" w:hAnsi="Tahoma" w:cs="Tahoma"/>
          <w:kern w:val="0"/>
          <w:szCs w:val="28"/>
          <w:lang w:val="es-ES_tradnl" w:eastAsia="es-ES"/>
          <w14:ligatures w14:val="none"/>
        </w:rPr>
        <w:t>legal lo</w:t>
      </w:r>
      <w:r w:rsidRPr="009D4E93">
        <w:rPr>
          <w:rFonts w:ascii="Tahoma" w:eastAsia="Times New Roman" w:hAnsi="Tahoma" w:cs="Tahoma"/>
          <w:kern w:val="0"/>
          <w:szCs w:val="28"/>
          <w:lang w:val="es-ES_tradnl" w:eastAsia="es-ES"/>
          <w14:ligatures w14:val="none"/>
        </w:rPr>
        <w:t xml:space="preserve"> cual ayudó a alcanzar los objetivos financieros propuestos por ISA y sus empresas. Al cierre del 2024 el ebitda fue de $367.178 millones y la utilidad neta de $206.032 millones cumpliendo las metas establecidas para el año. Frente al 2023 el incremento fue del 5% y 3%, respectivamente. </w:t>
      </w:r>
    </w:p>
    <w:p w14:paraId="36DA2098" w14:textId="77777777" w:rsidR="009D4E93" w:rsidRPr="009D4E93" w:rsidRDefault="009D4E93" w:rsidP="009D4E93">
      <w:pPr>
        <w:widowControl w:val="0"/>
        <w:spacing w:after="0" w:line="240" w:lineRule="auto"/>
        <w:jc w:val="both"/>
        <w:rPr>
          <w:rFonts w:ascii="Tahoma" w:eastAsia="Times New Roman" w:hAnsi="Tahoma" w:cs="Tahoma"/>
          <w:kern w:val="0"/>
          <w:szCs w:val="28"/>
          <w:lang w:val="es-ES_tradnl" w:eastAsia="es-ES"/>
          <w14:ligatures w14:val="none"/>
        </w:rPr>
      </w:pPr>
    </w:p>
    <w:p w14:paraId="692132D2" w14:textId="77777777" w:rsidR="009D4E93" w:rsidRPr="009D4E93" w:rsidRDefault="009D4E93" w:rsidP="00AC1146">
      <w:pPr>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 xml:space="preserve">En 2024 la empresa repartió dividendos a sus accionistas por valor total de $221.396 millones. </w:t>
      </w:r>
    </w:p>
    <w:p w14:paraId="39A786B2" w14:textId="77777777" w:rsidR="009D4E93" w:rsidRPr="009D4E93" w:rsidRDefault="009D4E93" w:rsidP="009D4E93">
      <w:pPr>
        <w:widowControl w:val="0"/>
        <w:spacing w:after="0" w:line="240" w:lineRule="auto"/>
        <w:ind w:left="720"/>
        <w:jc w:val="both"/>
        <w:rPr>
          <w:rFonts w:ascii="Tahoma" w:eastAsia="Times New Roman" w:hAnsi="Tahoma" w:cs="Tahoma"/>
          <w:kern w:val="0"/>
          <w:szCs w:val="28"/>
          <w:lang w:val="es-ES_tradnl" w:eastAsia="es-ES"/>
          <w14:ligatures w14:val="none"/>
        </w:rPr>
      </w:pPr>
    </w:p>
    <w:p w14:paraId="6AE71D6C" w14:textId="77777777"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La compañía logró mantener un crecimiento sostenido gracias a estrategias de optimización de costos, eficiencia operativa, gestión de liquidez, financiamiento estratégico y control de costos. Estas medidas permitieron cumplir metas y fortalecer su posición en el mercado</w:t>
      </w:r>
    </w:p>
    <w:p w14:paraId="3F60B25E" w14:textId="77777777" w:rsidR="009D4E93" w:rsidRPr="009D4E93" w:rsidRDefault="009D4E93" w:rsidP="009D4E93">
      <w:pPr>
        <w:spacing w:after="0" w:line="240" w:lineRule="auto"/>
        <w:ind w:left="720"/>
        <w:contextualSpacing/>
        <w:rPr>
          <w:rFonts w:ascii="Tahoma" w:hAnsi="Tahoma" w:cs="Tahoma"/>
          <w:kern w:val="0"/>
          <w:szCs w:val="28"/>
          <w:lang w:val="es-ES_tradnl"/>
          <w14:ligatures w14:val="none"/>
        </w:rPr>
      </w:pPr>
    </w:p>
    <w:p w14:paraId="7BA79CD5" w14:textId="77777777"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 xml:space="preserve">TRANSELCA consiguió de manera eficiente los recursos financieros requeridos para los proyectos de inversión, ambientales y sociales, lo cual se refleja en los altos niveles de utilidad y los resultados positivos de los indicadores. </w:t>
      </w:r>
    </w:p>
    <w:p w14:paraId="68388BAA" w14:textId="77777777" w:rsidR="009D4E93" w:rsidRPr="009D4E93" w:rsidRDefault="009D4E93" w:rsidP="009D4E93">
      <w:pPr>
        <w:widowControl w:val="0"/>
        <w:spacing w:after="0" w:line="240" w:lineRule="auto"/>
        <w:ind w:left="720"/>
        <w:jc w:val="both"/>
        <w:rPr>
          <w:rFonts w:ascii="Tahoma" w:eastAsia="Times New Roman" w:hAnsi="Tahoma" w:cs="Tahoma"/>
          <w:kern w:val="0"/>
          <w:szCs w:val="28"/>
          <w:lang w:val="es-ES_tradnl" w:eastAsia="es-ES"/>
          <w14:ligatures w14:val="none"/>
        </w:rPr>
      </w:pPr>
    </w:p>
    <w:p w14:paraId="5C52F55D" w14:textId="77777777"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En materia de calificación crediticia se resalta que Fitch Ratings de Colombia S.A. ratificó nuevamente la calificación AAA (Triple A) otorgada a la emisión de bonos que hizo la empresa en febrero de 2022. Esta calificación se otorga a emisiones con la más alta calidad crediticia, donde los factores de riesgo son prácticamente inexistentes.</w:t>
      </w:r>
    </w:p>
    <w:p w14:paraId="759BCD3E" w14:textId="77777777" w:rsidR="009D4E93" w:rsidRPr="009D4E93" w:rsidRDefault="009D4E93" w:rsidP="009D4E93">
      <w:pPr>
        <w:widowControl w:val="0"/>
        <w:spacing w:after="0" w:line="240" w:lineRule="auto"/>
        <w:ind w:left="720"/>
        <w:jc w:val="both"/>
        <w:rPr>
          <w:rFonts w:ascii="Tahoma" w:eastAsia="Times New Roman" w:hAnsi="Tahoma" w:cs="Tahoma"/>
          <w:kern w:val="0"/>
          <w:szCs w:val="28"/>
          <w:lang w:val="es-ES_tradnl" w:eastAsia="es-ES"/>
          <w14:ligatures w14:val="none"/>
        </w:rPr>
      </w:pPr>
    </w:p>
    <w:p w14:paraId="751DC944" w14:textId="77777777"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 xml:space="preserve">TRANSELCA tuvo crecimiento significativo en el negocio de transmisión de energía con la entrada en operación del proyecto Smart Valves Atlántico y nuevos proyectos de conexión. </w:t>
      </w:r>
    </w:p>
    <w:p w14:paraId="12BF3EC0" w14:textId="77777777" w:rsidR="009D4E93" w:rsidRPr="009D4E93" w:rsidRDefault="009D4E93" w:rsidP="009D4E93">
      <w:pPr>
        <w:widowControl w:val="0"/>
        <w:spacing w:after="0" w:line="240" w:lineRule="auto"/>
        <w:ind w:left="720"/>
        <w:jc w:val="both"/>
        <w:rPr>
          <w:rFonts w:ascii="Tahoma" w:eastAsia="Times New Roman" w:hAnsi="Tahoma" w:cs="Tahoma"/>
          <w:kern w:val="0"/>
          <w:szCs w:val="28"/>
          <w:lang w:val="es-ES_tradnl" w:eastAsia="es-ES"/>
          <w14:ligatures w14:val="none"/>
        </w:rPr>
      </w:pPr>
    </w:p>
    <w:p w14:paraId="4DD707C4" w14:textId="77777777" w:rsidR="009D4E93" w:rsidRPr="009D4E93" w:rsidRDefault="009D4E93" w:rsidP="00AC1146">
      <w:pPr>
        <w:widowControl w:val="0"/>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Logró la estructuración estratégica de proyectos de inversión remunerada, asegurando resultados confiables y facilitando decisiones efectivas, esenciales para una gestión exitosa.</w:t>
      </w:r>
    </w:p>
    <w:p w14:paraId="4D51D700" w14:textId="77777777" w:rsidR="009D4E93" w:rsidRPr="009D4E93" w:rsidRDefault="009D4E93" w:rsidP="009D4E93">
      <w:pPr>
        <w:widowControl w:val="0"/>
        <w:spacing w:after="0" w:line="240" w:lineRule="auto"/>
        <w:ind w:left="720"/>
        <w:jc w:val="both"/>
        <w:rPr>
          <w:rFonts w:ascii="Tahoma" w:eastAsia="Times New Roman" w:hAnsi="Tahoma" w:cs="Tahoma"/>
          <w:kern w:val="0"/>
          <w:szCs w:val="28"/>
          <w:lang w:val="es-ES_tradnl" w:eastAsia="es-ES"/>
          <w14:ligatures w14:val="none"/>
        </w:rPr>
      </w:pPr>
    </w:p>
    <w:p w14:paraId="57B1EAF3" w14:textId="77777777" w:rsidR="009D4E93" w:rsidRPr="009D4E93" w:rsidRDefault="009D4E93" w:rsidP="00AC1146">
      <w:pPr>
        <w:numPr>
          <w:ilvl w:val="0"/>
          <w:numId w:val="105"/>
        </w:num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Incursionó en nuevos negocios de energía B2B que le permiten ser un actor relevante en la transición energética.</w:t>
      </w:r>
    </w:p>
    <w:p w14:paraId="5F8F3ED9" w14:textId="77777777" w:rsidR="009D4E93" w:rsidRPr="009D4E93" w:rsidRDefault="009D4E93" w:rsidP="009D4E93">
      <w:pPr>
        <w:spacing w:after="0" w:line="240" w:lineRule="auto"/>
        <w:ind w:left="720"/>
        <w:jc w:val="both"/>
        <w:rPr>
          <w:rFonts w:ascii="Tahoma" w:eastAsia="Times New Roman" w:hAnsi="Tahoma" w:cs="Tahoma"/>
          <w:kern w:val="0"/>
          <w:szCs w:val="28"/>
          <w:lang w:val="es-ES_tradnl" w:eastAsia="es-ES"/>
          <w14:ligatures w14:val="none"/>
        </w:rPr>
      </w:pPr>
    </w:p>
    <w:p w14:paraId="156AEB1E" w14:textId="724C254C" w:rsidR="009D4E93" w:rsidRPr="007109C4" w:rsidRDefault="007109C4" w:rsidP="00D9777B">
      <w:pPr>
        <w:spacing w:line="259" w:lineRule="auto"/>
        <w:rPr>
          <w:rFonts w:ascii="Tahoma" w:hAnsi="Tahoma" w:cs="Tahoma"/>
          <w:b/>
          <w:color w:val="0070C0"/>
          <w:kern w:val="0"/>
          <w:sz w:val="36"/>
          <w:szCs w:val="36"/>
          <w14:ligatures w14:val="none"/>
        </w:rPr>
      </w:pPr>
      <w:r w:rsidRPr="007109C4">
        <w:rPr>
          <w:rFonts w:ascii="Tahoma" w:hAnsi="Tahoma" w:cs="Tahoma"/>
          <w:b/>
          <w:color w:val="0070C0"/>
          <w:kern w:val="0"/>
          <w:sz w:val="36"/>
          <w:szCs w:val="36"/>
          <w14:ligatures w14:val="none"/>
        </w:rPr>
        <w:t>Balance general</w:t>
      </w:r>
    </w:p>
    <w:p w14:paraId="41CAA109" w14:textId="77777777" w:rsidR="009D4E93" w:rsidRPr="009D4E93" w:rsidRDefault="009D4E93" w:rsidP="009D4E93">
      <w:pPr>
        <w:spacing w:line="259" w:lineRule="auto"/>
        <w:rPr>
          <w:rFonts w:ascii="Tahoma" w:hAnsi="Tahoma" w:cs="Tahoma"/>
          <w:kern w:val="0"/>
          <w:sz w:val="22"/>
          <w:szCs w:val="22"/>
          <w14:ligatures w14:val="none"/>
        </w:rPr>
      </w:pPr>
      <w:r w:rsidRPr="009D4E93">
        <w:rPr>
          <w:rFonts w:ascii="Tahoma" w:hAnsi="Tahoma" w:cs="Tahoma"/>
          <w:noProof/>
          <w:kern w:val="0"/>
          <w:sz w:val="22"/>
          <w:szCs w:val="22"/>
          <w:lang w:eastAsia="es-CO"/>
          <w14:ligatures w14:val="none"/>
        </w:rPr>
        <w:lastRenderedPageBreak/>
        <w:drawing>
          <wp:inline distT="0" distB="0" distL="0" distR="0" wp14:anchorId="2E552BCC" wp14:editId="147DF91E">
            <wp:extent cx="5612130" cy="2317115"/>
            <wp:effectExtent l="0" t="0" r="7620" b="6985"/>
            <wp:docPr id="457212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130" cy="2317115"/>
                    </a:xfrm>
                    <a:prstGeom prst="rect">
                      <a:avLst/>
                    </a:prstGeom>
                    <a:noFill/>
                    <a:ln>
                      <a:noFill/>
                    </a:ln>
                  </pic:spPr>
                </pic:pic>
              </a:graphicData>
            </a:graphic>
          </wp:inline>
        </w:drawing>
      </w:r>
    </w:p>
    <w:p w14:paraId="1590A685" w14:textId="77777777" w:rsidR="009D4E93" w:rsidRPr="009D4E93" w:rsidRDefault="009D4E93" w:rsidP="009D4E93">
      <w:pPr>
        <w:spacing w:line="259" w:lineRule="auto"/>
        <w:jc w:val="both"/>
        <w:rPr>
          <w:rFonts w:ascii="Tahoma" w:hAnsi="Tahoma" w:cs="Tahoma"/>
          <w:kern w:val="0"/>
          <w:szCs w:val="28"/>
          <w14:ligatures w14:val="none"/>
        </w:rPr>
      </w:pPr>
      <w:r w:rsidRPr="009D4E93">
        <w:rPr>
          <w:rFonts w:ascii="Tahoma" w:hAnsi="Tahoma" w:cs="Tahoma"/>
          <w:b/>
          <w:kern w:val="0"/>
          <w:szCs w:val="28"/>
          <w14:ligatures w14:val="none"/>
        </w:rPr>
        <w:t>Los activos totales</w:t>
      </w:r>
      <w:r w:rsidRPr="009D4E93">
        <w:rPr>
          <w:rFonts w:ascii="Tahoma" w:hAnsi="Tahoma" w:cs="Tahoma"/>
          <w:kern w:val="0"/>
          <w:szCs w:val="28"/>
          <w14:ligatures w14:val="none"/>
        </w:rPr>
        <w:t xml:space="preserve"> de la empresa a diciembre de 2024 ascendieron a $2.004.643 millones y mostraron un incremento de 3,5% frente al cierre de 2023. L</w:t>
      </w:r>
      <w:r w:rsidRPr="009D4E93">
        <w:rPr>
          <w:rFonts w:ascii="Tahoma" w:hAnsi="Tahoma" w:cs="Tahoma"/>
          <w:b/>
          <w:kern w:val="0"/>
          <w:szCs w:val="28"/>
          <w14:ligatures w14:val="none"/>
        </w:rPr>
        <w:t>os pasivos totales</w:t>
      </w:r>
      <w:r w:rsidRPr="009D4E93">
        <w:rPr>
          <w:rFonts w:ascii="Tahoma" w:hAnsi="Tahoma" w:cs="Tahoma"/>
          <w:kern w:val="0"/>
          <w:szCs w:val="28"/>
          <w14:ligatures w14:val="none"/>
        </w:rPr>
        <w:t xml:space="preserve"> de la empresa llegaron a $1.069.321 millones, es decir, 4,2% y presentan un cremento del 4,2%. </w:t>
      </w:r>
    </w:p>
    <w:p w14:paraId="69510465" w14:textId="77777777" w:rsidR="009D4E93" w:rsidRPr="009D4E93" w:rsidRDefault="009D4E93" w:rsidP="009D4E93">
      <w:pPr>
        <w:spacing w:line="259" w:lineRule="auto"/>
        <w:jc w:val="both"/>
        <w:rPr>
          <w:rFonts w:ascii="Tahoma" w:hAnsi="Tahoma" w:cs="Tahoma"/>
          <w:kern w:val="0"/>
          <w:szCs w:val="28"/>
          <w14:ligatures w14:val="none"/>
        </w:rPr>
      </w:pPr>
      <w:r w:rsidRPr="009D4E93">
        <w:rPr>
          <w:rFonts w:ascii="Tahoma" w:hAnsi="Tahoma" w:cs="Tahoma"/>
          <w:kern w:val="0"/>
          <w:szCs w:val="28"/>
          <w14:ligatures w14:val="none"/>
        </w:rPr>
        <w:t>A continuación, se resumen las principales variaciones y movimientos que explican los resultados obtenidos:</w:t>
      </w:r>
    </w:p>
    <w:tbl>
      <w:tblPr>
        <w:tblStyle w:val="Tablaconcuadrcula4-nfasis4"/>
        <w:tblW w:w="0" w:type="auto"/>
        <w:tblLook w:val="04A0" w:firstRow="1" w:lastRow="0" w:firstColumn="1" w:lastColumn="0" w:noHBand="0" w:noVBand="1"/>
      </w:tblPr>
      <w:tblGrid>
        <w:gridCol w:w="4673"/>
        <w:gridCol w:w="4155"/>
      </w:tblGrid>
      <w:tr w:rsidR="009D4E93" w:rsidRPr="009D4E93" w14:paraId="5363AA53" w14:textId="77777777" w:rsidTr="00955E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4228CDA" w14:textId="77777777" w:rsidR="009D4E93" w:rsidRPr="009D4E93" w:rsidRDefault="009D4E93" w:rsidP="009D4E93">
            <w:pPr>
              <w:jc w:val="center"/>
              <w:rPr>
                <w:rFonts w:ascii="Tahoma" w:hAnsi="Tahoma" w:cs="Tahoma"/>
                <w:szCs w:val="28"/>
              </w:rPr>
            </w:pPr>
            <w:r w:rsidRPr="009D4E93">
              <w:rPr>
                <w:rFonts w:ascii="Tahoma" w:hAnsi="Tahoma" w:cs="Tahoma"/>
                <w:szCs w:val="28"/>
              </w:rPr>
              <w:t>Activo</w:t>
            </w:r>
          </w:p>
        </w:tc>
        <w:tc>
          <w:tcPr>
            <w:tcW w:w="4155" w:type="dxa"/>
          </w:tcPr>
          <w:p w14:paraId="1C827232" w14:textId="77777777" w:rsidR="009D4E93" w:rsidRPr="009D4E93" w:rsidRDefault="009D4E93" w:rsidP="009D4E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Cs w:val="28"/>
              </w:rPr>
            </w:pPr>
            <w:r w:rsidRPr="009D4E93">
              <w:rPr>
                <w:rFonts w:ascii="Tahoma" w:hAnsi="Tahoma" w:cs="Tahoma"/>
                <w:szCs w:val="28"/>
              </w:rPr>
              <w:t>Pasivo</w:t>
            </w:r>
          </w:p>
        </w:tc>
      </w:tr>
      <w:tr w:rsidR="009D4E93" w:rsidRPr="009D4E93" w14:paraId="4750CD8C" w14:textId="77777777" w:rsidTr="00955E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18A1AE7" w14:textId="77777777" w:rsidR="009D4E93" w:rsidRPr="009D4E93" w:rsidRDefault="009D4E93" w:rsidP="00AC1146">
            <w:pPr>
              <w:numPr>
                <w:ilvl w:val="0"/>
                <w:numId w:val="106"/>
              </w:numPr>
              <w:contextualSpacing/>
              <w:jc w:val="both"/>
              <w:rPr>
                <w:rFonts w:ascii="Tahoma" w:hAnsi="Tahoma" w:cs="Tahoma"/>
                <w:szCs w:val="28"/>
              </w:rPr>
            </w:pPr>
            <w:r w:rsidRPr="009D4E93">
              <w:rPr>
                <w:rFonts w:ascii="Tahoma" w:hAnsi="Tahoma" w:cs="Tahoma"/>
                <w:szCs w:val="28"/>
              </w:rPr>
              <w:t xml:space="preserve">Disminución del activo corriente por $117.186 millones principalmente por clasificación de los préstamos vinculados en corriente y no corriente, acorde con los vencimientos. </w:t>
            </w:r>
          </w:p>
        </w:tc>
        <w:tc>
          <w:tcPr>
            <w:tcW w:w="4155" w:type="dxa"/>
          </w:tcPr>
          <w:p w14:paraId="1A36E736" w14:textId="77777777" w:rsidR="009D4E93" w:rsidRPr="009D4E93" w:rsidRDefault="009D4E93" w:rsidP="00AC1146">
            <w:pPr>
              <w:numPr>
                <w:ilvl w:val="0"/>
                <w:numId w:val="107"/>
              </w:numPr>
              <w:jc w:val="both"/>
              <w:cnfStyle w:val="000000100000" w:firstRow="0" w:lastRow="0" w:firstColumn="0" w:lastColumn="0" w:oddVBand="0" w:evenVBand="0" w:oddHBand="1" w:evenHBand="0" w:firstRowFirstColumn="0" w:firstRowLastColumn="0" w:lastRowFirstColumn="0" w:lastRowLastColumn="0"/>
              <w:rPr>
                <w:rFonts w:ascii="Tahoma" w:hAnsi="Tahoma" w:cs="Tahoma"/>
                <w:szCs w:val="28"/>
              </w:rPr>
            </w:pPr>
            <w:r w:rsidRPr="009D4E93">
              <w:rPr>
                <w:rFonts w:ascii="Tahoma" w:hAnsi="Tahoma" w:cs="Tahoma"/>
                <w:szCs w:val="28"/>
              </w:rPr>
              <w:t>Incremento de $16.356 millones de los pasivos corrientes principalmente por mayor valor provisionado de Impuesto renta.</w:t>
            </w:r>
          </w:p>
        </w:tc>
      </w:tr>
      <w:tr w:rsidR="009D4E93" w:rsidRPr="009D4E93" w14:paraId="7C2409C9" w14:textId="77777777" w:rsidTr="00955EFE">
        <w:tc>
          <w:tcPr>
            <w:cnfStyle w:val="001000000000" w:firstRow="0" w:lastRow="0" w:firstColumn="1" w:lastColumn="0" w:oddVBand="0" w:evenVBand="0" w:oddHBand="0" w:evenHBand="0" w:firstRowFirstColumn="0" w:firstRowLastColumn="0" w:lastRowFirstColumn="0" w:lastRowLastColumn="0"/>
            <w:tcW w:w="4673" w:type="dxa"/>
          </w:tcPr>
          <w:p w14:paraId="01EA3FEA" w14:textId="77777777" w:rsidR="009D4E93" w:rsidRPr="009D4E93" w:rsidRDefault="009D4E93" w:rsidP="00AC1146">
            <w:pPr>
              <w:numPr>
                <w:ilvl w:val="0"/>
                <w:numId w:val="106"/>
              </w:numPr>
              <w:contextualSpacing/>
              <w:jc w:val="both"/>
              <w:rPr>
                <w:rFonts w:ascii="Tahoma" w:hAnsi="Tahoma" w:cs="Tahoma"/>
                <w:szCs w:val="28"/>
              </w:rPr>
            </w:pPr>
            <w:r w:rsidRPr="009D4E93">
              <w:rPr>
                <w:rFonts w:ascii="Tahoma" w:hAnsi="Tahoma" w:cs="Tahoma"/>
                <w:szCs w:val="28"/>
              </w:rPr>
              <w:t xml:space="preserve">Aumento de los activos fijos en $108.359 millones por efecto neto de la ejecución del plan de inversiones y la depreciación del año. Se resalta que durante el 2024 se ejecutaron proyectos remunerados importantes que entraron en operación: Conexión: Copey y Cenit. STN: Smart Valves Atlántico. </w:t>
            </w:r>
          </w:p>
        </w:tc>
        <w:tc>
          <w:tcPr>
            <w:tcW w:w="4155" w:type="dxa"/>
          </w:tcPr>
          <w:p w14:paraId="12A2B580" w14:textId="77777777" w:rsidR="009D4E93" w:rsidRPr="009D4E93" w:rsidRDefault="009D4E93" w:rsidP="00AC1146">
            <w:pPr>
              <w:numPr>
                <w:ilvl w:val="0"/>
                <w:numId w:val="106"/>
              </w:numPr>
              <w:jc w:val="both"/>
              <w:cnfStyle w:val="000000000000" w:firstRow="0" w:lastRow="0" w:firstColumn="0" w:lastColumn="0" w:oddVBand="0" w:evenVBand="0" w:oddHBand="0" w:evenHBand="0" w:firstRowFirstColumn="0" w:firstRowLastColumn="0" w:lastRowFirstColumn="0" w:lastRowLastColumn="0"/>
              <w:rPr>
                <w:rFonts w:ascii="Tahoma" w:hAnsi="Tahoma" w:cs="Tahoma"/>
                <w:szCs w:val="28"/>
              </w:rPr>
            </w:pPr>
            <w:r w:rsidRPr="009D4E93">
              <w:rPr>
                <w:rFonts w:ascii="Tahoma" w:hAnsi="Tahoma" w:cs="Tahoma"/>
                <w:szCs w:val="28"/>
              </w:rPr>
              <w:t>Incremento de las obligaciones financieras por $36.193 debido al desembolso de crédito de $80.000 millones. Esto, con el fin de atender el flujo de caja corporativo y los proyectos de inversión remunerados del período 2024-2025.</w:t>
            </w:r>
          </w:p>
          <w:p w14:paraId="0719998A" w14:textId="77777777" w:rsidR="009D4E93" w:rsidRPr="009D4E93" w:rsidRDefault="009D4E93" w:rsidP="009D4E93">
            <w:pPr>
              <w:ind w:left="720"/>
              <w:contextualSpacing/>
              <w:cnfStyle w:val="000000000000" w:firstRow="0" w:lastRow="0" w:firstColumn="0" w:lastColumn="0" w:oddVBand="0" w:evenVBand="0" w:oddHBand="0" w:evenHBand="0" w:firstRowFirstColumn="0" w:firstRowLastColumn="0" w:lastRowFirstColumn="0" w:lastRowLastColumn="0"/>
              <w:rPr>
                <w:rFonts w:ascii="Tahoma" w:hAnsi="Tahoma" w:cs="Tahoma"/>
                <w:szCs w:val="28"/>
              </w:rPr>
            </w:pPr>
          </w:p>
        </w:tc>
      </w:tr>
    </w:tbl>
    <w:p w14:paraId="0D986F3D" w14:textId="77777777" w:rsidR="009D4E93" w:rsidRPr="009D4E93" w:rsidRDefault="009D4E93" w:rsidP="009D4E93">
      <w:pPr>
        <w:spacing w:after="0" w:line="240" w:lineRule="auto"/>
        <w:jc w:val="both"/>
        <w:rPr>
          <w:rFonts w:ascii="Tahoma" w:eastAsia="Times New Roman" w:hAnsi="Tahoma" w:cs="Tahoma"/>
          <w:snapToGrid w:val="0"/>
          <w:kern w:val="0"/>
          <w:szCs w:val="28"/>
          <w:lang w:val="es-ES_tradnl" w:eastAsia="es-ES"/>
          <w14:ligatures w14:val="none"/>
        </w:rPr>
      </w:pPr>
    </w:p>
    <w:p w14:paraId="2BF03D5F" w14:textId="77777777" w:rsidR="009D4E93" w:rsidRPr="009D4E93" w:rsidRDefault="009D4E93" w:rsidP="009D4E93">
      <w:pPr>
        <w:spacing w:after="0" w:line="240" w:lineRule="auto"/>
        <w:jc w:val="both"/>
        <w:rPr>
          <w:rFonts w:ascii="Tahoma" w:eastAsia="Times New Roman" w:hAnsi="Tahoma" w:cs="Tahoma"/>
          <w:snapToGrid w:val="0"/>
          <w:kern w:val="0"/>
          <w:szCs w:val="28"/>
          <w:lang w:val="es-ES_tradnl" w:eastAsia="es-ES"/>
          <w14:ligatures w14:val="none"/>
        </w:rPr>
      </w:pPr>
    </w:p>
    <w:p w14:paraId="3A6F208E" w14:textId="77777777" w:rsidR="009D4E93" w:rsidRPr="009D4E93" w:rsidRDefault="009D4E93" w:rsidP="009D4E93">
      <w:pPr>
        <w:spacing w:after="0" w:line="240" w:lineRule="auto"/>
        <w:jc w:val="both"/>
        <w:rPr>
          <w:rFonts w:ascii="Tahoma" w:eastAsia="Times New Roman" w:hAnsi="Tahoma" w:cs="Tahoma"/>
          <w:snapToGrid w:val="0"/>
          <w:kern w:val="0"/>
          <w:sz w:val="28"/>
          <w:szCs w:val="28"/>
          <w:lang w:val="es-ES_tradnl" w:eastAsia="es-ES"/>
          <w14:ligatures w14:val="none"/>
        </w:rPr>
      </w:pPr>
      <w:r w:rsidRPr="009D4E93">
        <w:rPr>
          <w:rFonts w:ascii="Tahoma" w:eastAsia="Times New Roman" w:hAnsi="Tahoma" w:cs="Tahoma"/>
          <w:snapToGrid w:val="0"/>
          <w:kern w:val="0"/>
          <w:szCs w:val="28"/>
          <w:lang w:val="es-ES_tradnl" w:eastAsia="es-ES"/>
          <w14:ligatures w14:val="none"/>
        </w:rPr>
        <w:t>El patrimonio aumentó 2,7% debido a las variaciones de las cuentas ORI y los rendimientos del ejercicio registrados en el 2024 frente al 2023.</w:t>
      </w:r>
    </w:p>
    <w:p w14:paraId="5440C685" w14:textId="77777777" w:rsidR="009D4E93" w:rsidRPr="009D4E93" w:rsidRDefault="009D4E93" w:rsidP="009D4E93">
      <w:pPr>
        <w:spacing w:after="0" w:line="240" w:lineRule="auto"/>
        <w:jc w:val="center"/>
        <w:rPr>
          <w:rFonts w:ascii="Tahoma" w:eastAsia="Times New Roman" w:hAnsi="Tahoma" w:cs="Tahoma"/>
          <w:b/>
          <w:bCs/>
          <w:snapToGrid w:val="0"/>
          <w:kern w:val="0"/>
          <w:sz w:val="28"/>
          <w:szCs w:val="28"/>
          <w:lang w:val="es-ES_tradnl" w:eastAsia="es-ES"/>
          <w14:ligatures w14:val="none"/>
        </w:rPr>
      </w:pPr>
    </w:p>
    <w:p w14:paraId="540CBB79" w14:textId="21022AD4" w:rsidR="009D4E93" w:rsidRPr="007109C4" w:rsidRDefault="007109C4" w:rsidP="00D9777B">
      <w:pPr>
        <w:spacing w:after="0" w:line="240" w:lineRule="auto"/>
        <w:rPr>
          <w:rFonts w:ascii="Tahoma" w:eastAsia="Times New Roman" w:hAnsi="Tahoma" w:cs="Tahoma"/>
          <w:b/>
          <w:bCs/>
          <w:snapToGrid w:val="0"/>
          <w:color w:val="0070C0"/>
          <w:kern w:val="0"/>
          <w:sz w:val="36"/>
          <w:szCs w:val="36"/>
          <w:lang w:val="es-ES_tradnl" w:eastAsia="es-ES"/>
          <w14:ligatures w14:val="none"/>
        </w:rPr>
      </w:pPr>
      <w:r w:rsidRPr="007109C4">
        <w:rPr>
          <w:rFonts w:ascii="Tahoma" w:eastAsia="Times New Roman" w:hAnsi="Tahoma" w:cs="Tahoma"/>
          <w:b/>
          <w:bCs/>
          <w:snapToGrid w:val="0"/>
          <w:color w:val="0070C0"/>
          <w:kern w:val="0"/>
          <w:sz w:val="36"/>
          <w:szCs w:val="36"/>
          <w:lang w:val="es-ES_tradnl" w:eastAsia="es-ES"/>
          <w14:ligatures w14:val="none"/>
        </w:rPr>
        <w:t>Estado de resultados</w:t>
      </w:r>
    </w:p>
    <w:p w14:paraId="07810506" w14:textId="77777777" w:rsidR="009D4E93" w:rsidRPr="009D4E93" w:rsidRDefault="009D4E93" w:rsidP="009D4E93">
      <w:pPr>
        <w:spacing w:line="259" w:lineRule="auto"/>
        <w:jc w:val="both"/>
        <w:rPr>
          <w:rFonts w:ascii="Tahoma" w:hAnsi="Tahoma" w:cs="Tahoma"/>
          <w:kern w:val="0"/>
          <w:sz w:val="28"/>
          <w:szCs w:val="28"/>
          <w14:ligatures w14:val="none"/>
        </w:rPr>
      </w:pPr>
    </w:p>
    <w:p w14:paraId="7BAA7884" w14:textId="77777777" w:rsidR="009D4E93" w:rsidRPr="009D4E93" w:rsidRDefault="009D4E93" w:rsidP="009D4E93">
      <w:pPr>
        <w:spacing w:line="259" w:lineRule="auto"/>
        <w:jc w:val="center"/>
        <w:rPr>
          <w:rFonts w:ascii="Tahoma" w:hAnsi="Tahoma" w:cs="Tahoma"/>
          <w:kern w:val="0"/>
          <w:sz w:val="22"/>
          <w:szCs w:val="22"/>
          <w14:ligatures w14:val="none"/>
        </w:rPr>
      </w:pPr>
      <w:r w:rsidRPr="009D4E93">
        <w:rPr>
          <w:rFonts w:ascii="Tahoma" w:hAnsi="Tahoma" w:cs="Tahoma"/>
          <w:noProof/>
          <w:kern w:val="0"/>
          <w:sz w:val="22"/>
          <w:szCs w:val="22"/>
          <w:lang w:eastAsia="es-CO"/>
          <w14:ligatures w14:val="none"/>
        </w:rPr>
        <w:drawing>
          <wp:inline distT="0" distB="0" distL="0" distR="0" wp14:anchorId="3FCABCBB" wp14:editId="5FB71AB0">
            <wp:extent cx="4391025" cy="4843780"/>
            <wp:effectExtent l="0" t="0" r="9525" b="0"/>
            <wp:docPr id="9166770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1025" cy="4843780"/>
                    </a:xfrm>
                    <a:prstGeom prst="rect">
                      <a:avLst/>
                    </a:prstGeom>
                    <a:noFill/>
                    <a:ln>
                      <a:noFill/>
                    </a:ln>
                  </pic:spPr>
                </pic:pic>
              </a:graphicData>
            </a:graphic>
          </wp:inline>
        </w:drawing>
      </w:r>
    </w:p>
    <w:p w14:paraId="55DE48C7" w14:textId="77777777" w:rsidR="009D4E93" w:rsidRPr="009D4E93" w:rsidRDefault="009D4E93" w:rsidP="009D4E93">
      <w:pPr>
        <w:spacing w:line="259" w:lineRule="auto"/>
        <w:jc w:val="center"/>
        <w:rPr>
          <w:rFonts w:ascii="Tahoma" w:hAnsi="Tahoma" w:cs="Tahoma"/>
          <w:kern w:val="0"/>
          <w:sz w:val="22"/>
          <w:szCs w:val="22"/>
          <w14:ligatures w14:val="none"/>
        </w:rPr>
      </w:pPr>
    </w:p>
    <w:p w14:paraId="4B9AD8A1" w14:textId="77777777" w:rsidR="009D4E93" w:rsidRPr="009D4E93" w:rsidRDefault="009D4E93" w:rsidP="009D4E93">
      <w:pPr>
        <w:spacing w:line="259" w:lineRule="auto"/>
        <w:jc w:val="both"/>
        <w:rPr>
          <w:rFonts w:ascii="Tahoma" w:eastAsia="Times New Roman" w:hAnsi="Tahoma" w:cs="Tahoma"/>
          <w:snapToGrid w:val="0"/>
          <w:kern w:val="0"/>
          <w:szCs w:val="28"/>
          <w:lang w:val="es-ES_tradnl" w:eastAsia="es-ES"/>
          <w14:ligatures w14:val="none"/>
        </w:rPr>
      </w:pPr>
      <w:r w:rsidRPr="009D4E93">
        <w:rPr>
          <w:rFonts w:ascii="Tahoma" w:eastAsia="Times New Roman" w:hAnsi="Tahoma" w:cs="Tahoma"/>
          <w:snapToGrid w:val="0"/>
          <w:kern w:val="0"/>
          <w:szCs w:val="28"/>
          <w:lang w:val="es-ES_tradnl" w:eastAsia="es-ES"/>
          <w14:ligatures w14:val="none"/>
        </w:rPr>
        <w:t xml:space="preserve">Al cierre de 2024 se obtuvo un ebitda de $367.178 millones y una utilidad neta de $206.032 millones cumpliendo así las metas establecidas para el año. </w:t>
      </w:r>
    </w:p>
    <w:p w14:paraId="0E756644" w14:textId="77777777" w:rsidR="009D4E93" w:rsidRPr="009D4E93" w:rsidRDefault="009D4E93" w:rsidP="009D4E93">
      <w:pPr>
        <w:spacing w:line="259" w:lineRule="auto"/>
        <w:jc w:val="both"/>
        <w:rPr>
          <w:rFonts w:ascii="Tahoma" w:eastAsia="Times New Roman" w:hAnsi="Tahoma" w:cs="Tahoma"/>
          <w:snapToGrid w:val="0"/>
          <w:kern w:val="0"/>
          <w:szCs w:val="28"/>
          <w:lang w:val="es-ES_tradnl" w:eastAsia="es-ES"/>
          <w14:ligatures w14:val="none"/>
        </w:rPr>
      </w:pPr>
      <w:r w:rsidRPr="009D4E93">
        <w:rPr>
          <w:rFonts w:ascii="Tahoma" w:eastAsia="Times New Roman" w:hAnsi="Tahoma" w:cs="Tahoma"/>
          <w:snapToGrid w:val="0"/>
          <w:kern w:val="0"/>
          <w:szCs w:val="28"/>
          <w:lang w:val="es-ES_tradnl" w:eastAsia="es-ES"/>
          <w14:ligatures w14:val="none"/>
        </w:rPr>
        <w:t xml:space="preserve">Como hechos relevantes se destaca el reconocimiento del ingreso de Smart Valves Santa Marta a partir de febrero 2024 y la entrada en operación de los proyectos de conexión Cenit y Copey. </w:t>
      </w:r>
    </w:p>
    <w:p w14:paraId="48E10702" w14:textId="77777777" w:rsidR="009D4E93" w:rsidRPr="009D4E93" w:rsidRDefault="009D4E93" w:rsidP="009D4E93">
      <w:pPr>
        <w:spacing w:line="259" w:lineRule="auto"/>
        <w:jc w:val="both"/>
        <w:rPr>
          <w:rFonts w:ascii="Tahoma" w:eastAsia="Times New Roman" w:hAnsi="Tahoma" w:cs="Tahoma"/>
          <w:snapToGrid w:val="0"/>
          <w:kern w:val="0"/>
          <w:szCs w:val="28"/>
          <w:lang w:val="es-ES_tradnl" w:eastAsia="es-ES"/>
          <w14:ligatures w14:val="none"/>
        </w:rPr>
      </w:pPr>
      <w:r w:rsidRPr="009D4E93">
        <w:rPr>
          <w:rFonts w:ascii="Tahoma" w:eastAsia="Times New Roman" w:hAnsi="Tahoma" w:cs="Tahoma"/>
          <w:snapToGrid w:val="0"/>
          <w:kern w:val="0"/>
          <w:szCs w:val="28"/>
          <w:lang w:val="es-ES_tradnl" w:eastAsia="es-ES"/>
          <w14:ligatures w14:val="none"/>
        </w:rPr>
        <w:t xml:space="preserve">Con respecto al año anterior se registró un incremento en los ingresos debido a que, en 2023 TRANSELCA se adhirió voluntariamente a la iniciativa del Gobierno “Pacto Tarifario” (Resolución 101 031 de 2022) impactando los resultados hasta septiembre de ese año. Así mismo, en el 2024 se registraron mayores ingresos por la entrada en operación de los proyectos mencionados.  </w:t>
      </w:r>
    </w:p>
    <w:p w14:paraId="7BD6BC6D" w14:textId="77777777" w:rsidR="009D4E93" w:rsidRPr="009D4E93" w:rsidRDefault="009D4E93" w:rsidP="009D4E93">
      <w:pPr>
        <w:spacing w:line="259" w:lineRule="auto"/>
        <w:jc w:val="both"/>
        <w:rPr>
          <w:rFonts w:ascii="Tahoma" w:eastAsia="Times New Roman" w:hAnsi="Tahoma" w:cs="Tahoma"/>
          <w:snapToGrid w:val="0"/>
          <w:kern w:val="0"/>
          <w:szCs w:val="28"/>
          <w:lang w:val="es-ES_tradnl" w:eastAsia="es-ES"/>
          <w14:ligatures w14:val="none"/>
        </w:rPr>
      </w:pPr>
      <w:r w:rsidRPr="009D4E93">
        <w:rPr>
          <w:rFonts w:ascii="Tahoma" w:eastAsia="Times New Roman" w:hAnsi="Tahoma" w:cs="Tahoma"/>
          <w:snapToGrid w:val="0"/>
          <w:kern w:val="0"/>
          <w:szCs w:val="28"/>
          <w:lang w:val="es-ES_tradnl" w:eastAsia="es-ES"/>
          <w14:ligatures w14:val="none"/>
        </w:rPr>
        <w:lastRenderedPageBreak/>
        <w:t>Adicionalmente, se destaca el registro de provisión extraordinaria de cartera por $42.088 millones, siendo más representativo el valor del cliente Aire-e. Con respecto a los gastos AOM se destaca una gestión operativa eficiente alcanzando una ejecución del 99%.</w:t>
      </w:r>
    </w:p>
    <w:p w14:paraId="7807A698" w14:textId="77777777" w:rsidR="009D4E93" w:rsidRPr="009D4E93" w:rsidRDefault="009D4E93" w:rsidP="009D4E93">
      <w:pPr>
        <w:spacing w:after="0" w:line="240" w:lineRule="auto"/>
        <w:jc w:val="both"/>
        <w:rPr>
          <w:rFonts w:ascii="Tahoma" w:hAnsi="Tahoma" w:cs="Tahoma"/>
          <w:kern w:val="0"/>
          <w:szCs w:val="28"/>
          <w:lang w:val="es-MX"/>
          <w14:ligatures w14:val="none"/>
        </w:rPr>
      </w:pPr>
    </w:p>
    <w:p w14:paraId="588EFEF1" w14:textId="6EEBB883" w:rsidR="009D4E93" w:rsidRPr="007109C4" w:rsidRDefault="007109C4" w:rsidP="009D4E93">
      <w:pPr>
        <w:spacing w:line="259" w:lineRule="auto"/>
        <w:rPr>
          <w:rFonts w:ascii="Tahoma" w:hAnsi="Tahoma" w:cs="Tahoma"/>
          <w:b/>
          <w:snapToGrid w:val="0"/>
          <w:color w:val="0070C0"/>
          <w:kern w:val="0"/>
          <w:sz w:val="36"/>
          <w:szCs w:val="36"/>
          <w14:ligatures w14:val="none"/>
        </w:rPr>
      </w:pPr>
      <w:r w:rsidRPr="007109C4">
        <w:rPr>
          <w:rFonts w:ascii="Tahoma" w:hAnsi="Tahoma" w:cs="Tahoma"/>
          <w:b/>
          <w:snapToGrid w:val="0"/>
          <w:color w:val="0070C0"/>
          <w:kern w:val="0"/>
          <w:sz w:val="36"/>
          <w:szCs w:val="36"/>
          <w14:ligatures w14:val="none"/>
        </w:rPr>
        <w:t>Flujo de caja</w:t>
      </w:r>
    </w:p>
    <w:p w14:paraId="720CEB2A" w14:textId="77777777" w:rsidR="00380287" w:rsidRPr="00380287" w:rsidRDefault="00380287" w:rsidP="00380287">
      <w:pPr>
        <w:spacing w:line="259" w:lineRule="auto"/>
        <w:jc w:val="both"/>
        <w:rPr>
          <w:rFonts w:ascii="Tahoma" w:hAnsi="Tahoma" w:cs="Tahoma"/>
          <w:kern w:val="0"/>
          <w:szCs w:val="28"/>
          <w:lang w:val="es-ES_tradnl"/>
          <w14:ligatures w14:val="none"/>
        </w:rPr>
      </w:pPr>
      <w:r w:rsidRPr="00380287">
        <w:rPr>
          <w:rFonts w:ascii="Tahoma" w:hAnsi="Tahoma" w:cs="Tahoma"/>
          <w:kern w:val="0"/>
          <w:szCs w:val="28"/>
          <w:lang w:val="es-ES_tradnl"/>
          <w14:ligatures w14:val="none"/>
        </w:rPr>
        <w:t xml:space="preserve">TRANSELCA inició el año 2024 con un saldo en caja de $107.108 millones. Recibió recursos por $891.627 millones, de los cuales $208.670 millones corresponden a la operación de manejo de deuda </w:t>
      </w:r>
      <w:r w:rsidRPr="00380287">
        <w:rPr>
          <w:rFonts w:ascii="Tahoma" w:hAnsi="Tahoma" w:cs="Tahoma"/>
          <w:kern w:val="0"/>
          <w:szCs w:val="28"/>
          <w14:ligatures w14:val="none"/>
        </w:rPr>
        <w:t>durante el año, logrando con esto alcanzar mayor vida media de los créditos a un costo optimizado; $80.000 corresponden a desembolso de crédito de largo plazo;</w:t>
      </w:r>
      <w:r w:rsidRPr="00380287">
        <w:rPr>
          <w:rFonts w:ascii="Tahoma" w:hAnsi="Tahoma" w:cs="Tahoma"/>
          <w:kern w:val="0"/>
          <w:szCs w:val="28"/>
          <w:lang w:val="es-ES_tradnl"/>
          <w14:ligatures w14:val="none"/>
        </w:rPr>
        <w:t xml:space="preserve"> $95.945 millones, a dividendos recibidos de las sociedades REP, ISA PERÚ e ISA BOLIVIA; $19.230 millones por la reducción de capital de ISA Bolivia y los restantes $509.946 millones, a ingresos corrientes del negocio. </w:t>
      </w:r>
    </w:p>
    <w:p w14:paraId="229173C6" w14:textId="77777777" w:rsidR="009D4E93" w:rsidRPr="00380287" w:rsidRDefault="009D4E93" w:rsidP="009D4E93">
      <w:pPr>
        <w:spacing w:line="259" w:lineRule="auto"/>
        <w:rPr>
          <w:rFonts w:ascii="Tahoma" w:hAnsi="Tahoma" w:cs="Tahoma"/>
          <w:b/>
          <w:snapToGrid w:val="0"/>
          <w:color w:val="0070C0"/>
          <w:kern w:val="0"/>
          <w:szCs w:val="28"/>
          <w:lang w:val="es-ES_tradnl"/>
          <w14:ligatures w14:val="none"/>
        </w:rPr>
      </w:pPr>
      <w:r w:rsidRPr="00380287">
        <w:rPr>
          <w:rFonts w:ascii="Tahoma" w:hAnsi="Tahoma" w:cs="Tahoma"/>
          <w:b/>
          <w:snapToGrid w:val="0"/>
          <w:color w:val="0070C0"/>
          <w:kern w:val="0"/>
          <w:szCs w:val="28"/>
          <w:lang w:val="es-ES_tradnl"/>
          <w14:ligatures w14:val="none"/>
        </w:rPr>
        <w:t>GRI 203-1</w:t>
      </w:r>
    </w:p>
    <w:p w14:paraId="411338D7" w14:textId="77777777" w:rsidR="009D4E93" w:rsidRPr="009D4E93" w:rsidRDefault="009D4E93" w:rsidP="009D4E93">
      <w:pPr>
        <w:autoSpaceDE w:val="0"/>
        <w:autoSpaceDN w:val="0"/>
        <w:adjustRightInd w:val="0"/>
        <w:spacing w:line="259" w:lineRule="auto"/>
        <w:jc w:val="both"/>
        <w:rPr>
          <w:rFonts w:ascii="Tahoma" w:hAnsi="Tahoma" w:cs="Tahoma"/>
          <w:kern w:val="0"/>
          <w:szCs w:val="28"/>
          <w:lang w:val="es-ES_tradnl"/>
          <w14:ligatures w14:val="none"/>
        </w:rPr>
      </w:pPr>
      <w:r w:rsidRPr="009D4E93">
        <w:rPr>
          <w:rFonts w:ascii="Tahoma" w:hAnsi="Tahoma" w:cs="Tahoma"/>
          <w:kern w:val="0"/>
          <w:szCs w:val="28"/>
          <w:lang w:val="es-ES_tradnl"/>
          <w14:ligatures w14:val="none"/>
        </w:rPr>
        <w:t xml:space="preserve">Con estos recursos la empresa atendió los gastos de administración, operación y mantenimiento ($160.884 millones), impuestos ($37.889 millones), servicio de la deuda ($342.219 millones que incluyen la operación de manejo de deuda del año); inversiones en activos ($145.465 millones de las cuales 45% corresponde al plan de optimización de activos, 51% a inversiones de proyectos remunerados y 4% a inversiones en tecnologías, innovación y obras civiles para adecuación de subestaciones). También se atendió el pago de dividendos a los accionistas por $221.396 millones. </w:t>
      </w:r>
    </w:p>
    <w:p w14:paraId="197855A4" w14:textId="77777777" w:rsidR="009D4E93" w:rsidRPr="009D4E93" w:rsidRDefault="009D4E93" w:rsidP="009D4E93">
      <w:pPr>
        <w:autoSpaceDE w:val="0"/>
        <w:autoSpaceDN w:val="0"/>
        <w:adjustRightInd w:val="0"/>
        <w:spacing w:line="259" w:lineRule="auto"/>
        <w:jc w:val="both"/>
        <w:rPr>
          <w:rFonts w:ascii="Tahoma" w:hAnsi="Tahoma" w:cs="Tahoma"/>
          <w:kern w:val="0"/>
          <w:szCs w:val="28"/>
          <w:lang w:val="es-ES_tradnl"/>
          <w14:ligatures w14:val="none"/>
        </w:rPr>
      </w:pPr>
      <w:r w:rsidRPr="009D4E93">
        <w:rPr>
          <w:rFonts w:ascii="Tahoma" w:hAnsi="Tahoma" w:cs="Tahoma"/>
          <w:kern w:val="0"/>
          <w:szCs w:val="28"/>
          <w:lang w:val="es-ES_tradnl"/>
          <w14:ligatures w14:val="none"/>
        </w:rPr>
        <w:t>Una vez cumplidas todas las obligaciones, el saldo en caja disponible ascendió a $90.880 millones.</w:t>
      </w:r>
    </w:p>
    <w:p w14:paraId="387A3DA2" w14:textId="77777777" w:rsidR="009D4E93" w:rsidRPr="009D4E93" w:rsidRDefault="009D4E93" w:rsidP="009D4E93">
      <w:pPr>
        <w:spacing w:line="259" w:lineRule="auto"/>
        <w:rPr>
          <w:rFonts w:ascii="Tahoma" w:hAnsi="Tahoma" w:cs="Tahoma"/>
          <w:b/>
          <w:snapToGrid w:val="0"/>
          <w:kern w:val="0"/>
          <w:szCs w:val="28"/>
          <w14:ligatures w14:val="none"/>
        </w:rPr>
      </w:pPr>
    </w:p>
    <w:p w14:paraId="449B4D83" w14:textId="0FDB7D23" w:rsidR="009D4E93" w:rsidRPr="00380287" w:rsidRDefault="00380287" w:rsidP="009D4E93">
      <w:pPr>
        <w:spacing w:line="259" w:lineRule="auto"/>
        <w:rPr>
          <w:rFonts w:ascii="Tahoma" w:hAnsi="Tahoma" w:cs="Tahoma"/>
          <w:b/>
          <w:snapToGrid w:val="0"/>
          <w:color w:val="0070C0"/>
          <w:kern w:val="0"/>
          <w:sz w:val="36"/>
          <w:szCs w:val="36"/>
          <w14:ligatures w14:val="none"/>
        </w:rPr>
      </w:pPr>
      <w:r w:rsidRPr="00380287">
        <w:rPr>
          <w:rFonts w:ascii="Tahoma" w:hAnsi="Tahoma" w:cs="Tahoma"/>
          <w:b/>
          <w:snapToGrid w:val="0"/>
          <w:color w:val="0070C0"/>
          <w:kern w:val="0"/>
          <w:sz w:val="36"/>
          <w:szCs w:val="36"/>
          <w14:ligatures w14:val="none"/>
        </w:rPr>
        <w:t>Seguimiento a las inversiones permanentes</w:t>
      </w:r>
    </w:p>
    <w:p w14:paraId="14F97661" w14:textId="77777777" w:rsidR="009D4E93" w:rsidRPr="009D4E93" w:rsidRDefault="009D4E93" w:rsidP="009D4E93">
      <w:p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A diciembre 31 de 2024, el 18% de los activos de TRANSELCA están conformados por inversiones permanentes en el exterior, en las sociedades Red de Energía del Perú S.A (REP S.A), ISA Perú S.A e ISA Bolivia S.A.</w:t>
      </w:r>
    </w:p>
    <w:p w14:paraId="413F2E45" w14:textId="77777777" w:rsidR="009D4E93" w:rsidRPr="009D4E93" w:rsidRDefault="009D4E93" w:rsidP="009D4E93">
      <w:pPr>
        <w:spacing w:after="0" w:line="240" w:lineRule="auto"/>
        <w:jc w:val="both"/>
        <w:rPr>
          <w:rFonts w:ascii="Tahoma" w:eastAsia="Times New Roman" w:hAnsi="Tahoma" w:cs="Tahoma"/>
          <w:kern w:val="0"/>
          <w:szCs w:val="28"/>
          <w:lang w:val="es-ES_tradnl" w:eastAsia="es-ES"/>
          <w14:ligatures w14:val="none"/>
        </w:rPr>
      </w:pPr>
    </w:p>
    <w:p w14:paraId="2FDEEE66" w14:textId="77777777" w:rsidR="009D4E93" w:rsidRPr="009D4E93" w:rsidRDefault="009D4E93" w:rsidP="009D4E93">
      <w:pPr>
        <w:spacing w:line="259" w:lineRule="auto"/>
        <w:jc w:val="both"/>
        <w:rPr>
          <w:rFonts w:ascii="Tahoma" w:hAnsi="Tahoma" w:cs="Tahoma"/>
          <w:snapToGrid w:val="0"/>
          <w:kern w:val="0"/>
          <w:szCs w:val="28"/>
          <w:lang w:val="es-ES_tradnl"/>
          <w14:ligatures w14:val="none"/>
        </w:rPr>
      </w:pPr>
      <w:r w:rsidRPr="009D4E93">
        <w:rPr>
          <w:rFonts w:ascii="Tahoma" w:hAnsi="Tahoma" w:cs="Tahoma"/>
          <w:snapToGrid w:val="0"/>
          <w:kern w:val="0"/>
          <w:szCs w:val="28"/>
          <w:lang w:val="es-ES_tradnl"/>
          <w14:ligatures w14:val="none"/>
        </w:rPr>
        <w:t>A continuación se presentan los resultados de la gestión del año 2024 resaltando que:</w:t>
      </w:r>
    </w:p>
    <w:p w14:paraId="166C9706" w14:textId="77777777" w:rsidR="009D4E93" w:rsidRPr="009D4E93" w:rsidRDefault="009D4E93" w:rsidP="00AC1146">
      <w:pPr>
        <w:numPr>
          <w:ilvl w:val="0"/>
          <w:numId w:val="108"/>
        </w:numPr>
        <w:autoSpaceDE w:val="0"/>
        <w:autoSpaceDN w:val="0"/>
        <w:adjustRightInd w:val="0"/>
        <w:spacing w:after="0" w:line="240" w:lineRule="auto"/>
        <w:jc w:val="both"/>
        <w:rPr>
          <w:rFonts w:ascii="Tahoma" w:hAnsi="Tahoma" w:cs="Tahoma"/>
          <w:snapToGrid w:val="0"/>
          <w:kern w:val="0"/>
          <w:szCs w:val="28"/>
          <w:lang w:val="es-ES_tradnl"/>
          <w14:ligatures w14:val="none"/>
        </w:rPr>
      </w:pPr>
      <w:r w:rsidRPr="009D4E93">
        <w:rPr>
          <w:rFonts w:ascii="Tahoma" w:hAnsi="Tahoma" w:cs="Tahoma"/>
          <w:snapToGrid w:val="0"/>
          <w:kern w:val="0"/>
          <w:szCs w:val="28"/>
          <w:lang w:val="es-ES_tradnl"/>
          <w14:ligatures w14:val="none"/>
        </w:rPr>
        <w:t xml:space="preserve">Las cifras e indicadores </w:t>
      </w:r>
      <w:r w:rsidRPr="009D4E93">
        <w:rPr>
          <w:rFonts w:ascii="Tahoma" w:hAnsi="Tahoma" w:cs="Tahoma"/>
          <w:kern w:val="0"/>
          <w:szCs w:val="28"/>
          <w:lang w:val="es-ES_tradnl"/>
          <w14:ligatures w14:val="none"/>
        </w:rPr>
        <w:t>que se mencionan se refieren a resultados bajo Normas Internacionales de Contabilidad (NIIF, por sus siglas en inglés).</w:t>
      </w:r>
    </w:p>
    <w:p w14:paraId="5EEA7E18" w14:textId="77777777" w:rsidR="009D4E93" w:rsidRPr="009D4E93" w:rsidRDefault="009D4E93" w:rsidP="009D4E93">
      <w:pPr>
        <w:autoSpaceDE w:val="0"/>
        <w:autoSpaceDN w:val="0"/>
        <w:adjustRightInd w:val="0"/>
        <w:spacing w:after="0" w:line="240" w:lineRule="auto"/>
        <w:ind w:left="720"/>
        <w:jc w:val="both"/>
        <w:rPr>
          <w:rFonts w:ascii="Tahoma" w:hAnsi="Tahoma" w:cs="Tahoma"/>
          <w:snapToGrid w:val="0"/>
          <w:kern w:val="0"/>
          <w:szCs w:val="28"/>
          <w:lang w:val="es-ES_tradnl"/>
          <w14:ligatures w14:val="none"/>
        </w:rPr>
      </w:pPr>
    </w:p>
    <w:p w14:paraId="64F45268" w14:textId="77777777" w:rsidR="009D4E93" w:rsidRPr="009D4E93" w:rsidRDefault="009D4E93" w:rsidP="00AC1146">
      <w:pPr>
        <w:numPr>
          <w:ilvl w:val="0"/>
          <w:numId w:val="108"/>
        </w:numPr>
        <w:autoSpaceDE w:val="0"/>
        <w:autoSpaceDN w:val="0"/>
        <w:adjustRightInd w:val="0"/>
        <w:spacing w:after="0" w:line="240" w:lineRule="auto"/>
        <w:jc w:val="both"/>
        <w:rPr>
          <w:rFonts w:ascii="Tahoma" w:hAnsi="Tahoma" w:cs="Tahoma"/>
          <w:snapToGrid w:val="0"/>
          <w:kern w:val="0"/>
          <w:szCs w:val="28"/>
          <w:lang w:val="es-ES_tradnl"/>
          <w14:ligatures w14:val="none"/>
        </w:rPr>
      </w:pPr>
      <w:r w:rsidRPr="009D4E93">
        <w:rPr>
          <w:rFonts w:ascii="Tahoma" w:hAnsi="Tahoma" w:cs="Tahoma"/>
          <w:snapToGrid w:val="0"/>
          <w:kern w:val="0"/>
          <w:szCs w:val="28"/>
          <w:lang w:val="es-ES_tradnl"/>
          <w14:ligatures w14:val="none"/>
        </w:rPr>
        <w:t xml:space="preserve">Las cifras se presentan en pesos colombianos utilizando para la conversión del balance la TRM de cierre de año y para el estado de resultados la tasa promedio acumulada. </w:t>
      </w:r>
    </w:p>
    <w:p w14:paraId="0C0A4B02" w14:textId="77777777" w:rsidR="009D4E93" w:rsidRPr="009D4E93" w:rsidRDefault="009D4E93" w:rsidP="009D4E93">
      <w:pPr>
        <w:autoSpaceDE w:val="0"/>
        <w:autoSpaceDN w:val="0"/>
        <w:adjustRightInd w:val="0"/>
        <w:spacing w:line="259" w:lineRule="auto"/>
        <w:jc w:val="both"/>
        <w:rPr>
          <w:rFonts w:ascii="Tahoma" w:hAnsi="Tahoma" w:cs="Tahoma"/>
          <w:kern w:val="0"/>
          <w:sz w:val="28"/>
          <w:szCs w:val="28"/>
          <w:lang w:val="es-ES_tradnl"/>
          <w14:ligatures w14:val="none"/>
        </w:rPr>
      </w:pPr>
    </w:p>
    <w:p w14:paraId="01EC3C6F" w14:textId="77777777" w:rsidR="009D4E93" w:rsidRPr="009D4E93" w:rsidRDefault="009D4E93" w:rsidP="009D4E93">
      <w:pPr>
        <w:autoSpaceDE w:val="0"/>
        <w:autoSpaceDN w:val="0"/>
        <w:adjustRightInd w:val="0"/>
        <w:spacing w:line="259" w:lineRule="auto"/>
        <w:jc w:val="center"/>
        <w:rPr>
          <w:rFonts w:ascii="Tahoma" w:hAnsi="Tahoma" w:cs="Tahoma"/>
          <w:kern w:val="0"/>
          <w:sz w:val="28"/>
          <w:szCs w:val="28"/>
          <w:lang w:val="es-ES_tradnl"/>
          <w14:ligatures w14:val="none"/>
        </w:rPr>
      </w:pPr>
      <w:r w:rsidRPr="009D4E93">
        <w:rPr>
          <w:rFonts w:ascii="Tahoma" w:hAnsi="Tahoma" w:cs="Tahoma"/>
          <w:noProof/>
          <w:kern w:val="0"/>
          <w:sz w:val="22"/>
          <w:szCs w:val="22"/>
          <w:lang w:eastAsia="es-CO"/>
          <w14:ligatures w14:val="none"/>
        </w:rPr>
        <w:drawing>
          <wp:inline distT="0" distB="0" distL="0" distR="0" wp14:anchorId="0E87BA17" wp14:editId="07FACA44">
            <wp:extent cx="4944745" cy="3298825"/>
            <wp:effectExtent l="0" t="0" r="8255" b="0"/>
            <wp:docPr id="2794208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4745" cy="3298825"/>
                    </a:xfrm>
                    <a:prstGeom prst="rect">
                      <a:avLst/>
                    </a:prstGeom>
                    <a:noFill/>
                    <a:ln>
                      <a:noFill/>
                    </a:ln>
                  </pic:spPr>
                </pic:pic>
              </a:graphicData>
            </a:graphic>
          </wp:inline>
        </w:drawing>
      </w:r>
    </w:p>
    <w:p w14:paraId="5ED72459" w14:textId="77777777" w:rsidR="009D4E93" w:rsidRPr="009D4E93" w:rsidRDefault="009D4E93" w:rsidP="009D4E93">
      <w:pPr>
        <w:spacing w:after="0" w:line="240" w:lineRule="auto"/>
        <w:jc w:val="both"/>
        <w:rPr>
          <w:rFonts w:ascii="Tahoma" w:eastAsia="Times New Roman" w:hAnsi="Tahoma" w:cs="Tahoma"/>
          <w:kern w:val="0"/>
          <w:szCs w:val="28"/>
          <w:lang w:val="es-ES_tradnl" w:eastAsia="es-ES"/>
          <w14:ligatures w14:val="none"/>
        </w:rPr>
      </w:pPr>
      <w:r w:rsidRPr="009D4E93">
        <w:rPr>
          <w:rFonts w:ascii="Tahoma" w:eastAsia="Times New Roman" w:hAnsi="Tahoma" w:cs="Tahoma"/>
          <w:kern w:val="0"/>
          <w:szCs w:val="28"/>
          <w:lang w:val="es-ES_tradnl" w:eastAsia="es-ES"/>
          <w14:ligatures w14:val="none"/>
        </w:rPr>
        <w:t>En general, la gestión financiera de las filiales de TRANSELCA en el exterior tuvo un balance positivo. Las empresas cumplieron todas sus obligaciones y compromisos con los diferentes grupos de interés.</w:t>
      </w:r>
    </w:p>
    <w:p w14:paraId="7E9A42BF" w14:textId="77777777" w:rsidR="009D4E93" w:rsidRPr="009D4E93" w:rsidRDefault="009D4E93" w:rsidP="009D4E93">
      <w:pPr>
        <w:spacing w:after="0" w:line="240" w:lineRule="auto"/>
        <w:jc w:val="both"/>
        <w:rPr>
          <w:rFonts w:ascii="Tahoma" w:eastAsia="Times New Roman" w:hAnsi="Tahoma" w:cs="Tahoma"/>
          <w:kern w:val="0"/>
          <w:szCs w:val="28"/>
          <w:lang w:val="es-ES_tradnl" w:eastAsia="es-ES"/>
          <w14:ligatures w14:val="none"/>
        </w:rPr>
      </w:pPr>
    </w:p>
    <w:p w14:paraId="3A6795A1" w14:textId="6E111581" w:rsidR="009D4E93" w:rsidRDefault="009D4E93" w:rsidP="009D4E93">
      <w:pPr>
        <w:widowControl w:val="0"/>
        <w:spacing w:after="0" w:line="240" w:lineRule="auto"/>
        <w:jc w:val="both"/>
        <w:rPr>
          <w:rFonts w:ascii="Tahoma" w:eastAsia="Times New Roman" w:hAnsi="Tahoma" w:cs="Tahoma"/>
          <w:kern w:val="0"/>
          <w:szCs w:val="28"/>
          <w:lang w:eastAsia="es-ES"/>
          <w14:ligatures w14:val="none"/>
        </w:rPr>
      </w:pPr>
      <w:r w:rsidRPr="009D4E93">
        <w:rPr>
          <w:rFonts w:ascii="Tahoma" w:eastAsia="Times New Roman" w:hAnsi="Tahoma" w:cs="Tahoma"/>
          <w:kern w:val="0"/>
          <w:szCs w:val="28"/>
          <w:lang w:eastAsia="es-ES"/>
          <w14:ligatures w14:val="none"/>
        </w:rPr>
        <w:t>Se anota que la coyuntura cambiaria que atraviesa Bolivia impactó las proyecciones de ISA Bolivia, actualizando la valoración de la compañía que como resultado tuvo reconocimiento de deterioro al cierre de 2024.</w:t>
      </w:r>
    </w:p>
    <w:p w14:paraId="7AFA082B" w14:textId="77777777" w:rsidR="006B2C66" w:rsidRDefault="006B2C66" w:rsidP="009D4E93">
      <w:pPr>
        <w:widowControl w:val="0"/>
        <w:spacing w:after="0" w:line="240" w:lineRule="auto"/>
        <w:jc w:val="both"/>
        <w:rPr>
          <w:rFonts w:ascii="Tahoma" w:eastAsia="Times New Roman" w:hAnsi="Tahoma" w:cs="Tahoma"/>
          <w:kern w:val="0"/>
          <w:szCs w:val="28"/>
          <w:lang w:eastAsia="es-ES"/>
          <w14:ligatures w14:val="none"/>
        </w:rPr>
      </w:pPr>
    </w:p>
    <w:sectPr w:rsidR="006B2C66" w:rsidSect="00FF1A50">
      <w:type w:val="continuous"/>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17B323" w14:textId="77777777" w:rsidR="0029589D" w:rsidRDefault="0029589D" w:rsidP="00711BDD">
      <w:pPr>
        <w:spacing w:after="0" w:line="240" w:lineRule="auto"/>
      </w:pPr>
      <w:r>
        <w:separator/>
      </w:r>
    </w:p>
  </w:endnote>
  <w:endnote w:type="continuationSeparator" w:id="0">
    <w:p w14:paraId="1F2C3820" w14:textId="77777777" w:rsidR="0029589D" w:rsidRDefault="0029589D" w:rsidP="00711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84F34" w14:textId="04486EFB" w:rsidR="008348B7" w:rsidRDefault="008348B7" w:rsidP="008B0AB5">
    <w:pPr>
      <w:pStyle w:val="Piedepgina"/>
      <w:jc w:val="right"/>
    </w:pPr>
    <w:r>
      <w:rPr>
        <w:noProof/>
      </w:rPr>
      <w:drawing>
        <wp:inline distT="0" distB="0" distL="0" distR="0" wp14:anchorId="69D655F1" wp14:editId="25E0A83D">
          <wp:extent cx="914400" cy="506344"/>
          <wp:effectExtent l="0" t="0" r="0" b="0"/>
          <wp:docPr id="118960759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53591" name="Imagen 2020253591"/>
                  <pic:cNvPicPr/>
                </pic:nvPicPr>
                <pic:blipFill>
                  <a:blip r:embed="rId1">
                    <a:extLst>
                      <a:ext uri="{28A0092B-C50C-407E-A947-70E740481C1C}">
                        <a14:useLocalDpi xmlns:a14="http://schemas.microsoft.com/office/drawing/2010/main" val="0"/>
                      </a:ext>
                    </a:extLst>
                  </a:blip>
                  <a:stretch>
                    <a:fillRect/>
                  </a:stretch>
                </pic:blipFill>
                <pic:spPr>
                  <a:xfrm>
                    <a:off x="0" y="0"/>
                    <a:ext cx="1001026" cy="55431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92CAD" w14:textId="77777777" w:rsidR="0029589D" w:rsidRDefault="0029589D" w:rsidP="00711BDD">
      <w:pPr>
        <w:spacing w:after="0" w:line="240" w:lineRule="auto"/>
      </w:pPr>
      <w:r>
        <w:separator/>
      </w:r>
    </w:p>
  </w:footnote>
  <w:footnote w:type="continuationSeparator" w:id="0">
    <w:p w14:paraId="16FA3994" w14:textId="77777777" w:rsidR="0029589D" w:rsidRDefault="0029589D" w:rsidP="00711B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ACA3D" w14:textId="443CC875" w:rsidR="00711BDD" w:rsidRDefault="008B0AB5">
    <w:pPr>
      <w:pStyle w:val="Encabezado"/>
    </w:pPr>
    <w:r>
      <w:rPr>
        <w:noProof/>
      </w:rPr>
      <mc:AlternateContent>
        <mc:Choice Requires="wps">
          <w:drawing>
            <wp:anchor distT="0" distB="0" distL="114300" distR="114300" simplePos="0" relativeHeight="251662336" behindDoc="0" locked="0" layoutInCell="1" allowOverlap="1" wp14:anchorId="7DBED697" wp14:editId="33154732">
              <wp:simplePos x="0" y="0"/>
              <wp:positionH relativeFrom="column">
                <wp:posOffset>62230</wp:posOffset>
              </wp:positionH>
              <wp:positionV relativeFrom="paragraph">
                <wp:posOffset>44450</wp:posOffset>
              </wp:positionV>
              <wp:extent cx="146685" cy="138430"/>
              <wp:effectExtent l="0" t="0" r="5715" b="1270"/>
              <wp:wrapNone/>
              <wp:docPr id="2142183188" name="Rectángulo 8"/>
              <wp:cNvGraphicFramePr/>
              <a:graphic xmlns:a="http://schemas.openxmlformats.org/drawingml/2006/main">
                <a:graphicData uri="http://schemas.microsoft.com/office/word/2010/wordprocessingShape">
                  <wps:wsp>
                    <wps:cNvSpPr/>
                    <wps:spPr>
                      <a:xfrm>
                        <a:off x="0" y="0"/>
                        <a:ext cx="146685" cy="138430"/>
                      </a:xfrm>
                      <a:prstGeom prst="rect">
                        <a:avLst/>
                      </a:prstGeom>
                      <a:solidFill>
                        <a:srgbClr val="21397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B5A62" id="Rectángulo 8" o:spid="_x0000_s1026" style="position:absolute;margin-left:4.9pt;margin-top:3.5pt;width:11.55pt;height:1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" fillcolor="#213978" stroked="f" strokeweight="1pt"/>
          </w:pict>
        </mc:Fallback>
      </mc:AlternateContent>
    </w:r>
    <w:r w:rsidR="008348B7">
      <w:rPr>
        <w:noProof/>
      </w:rPr>
      <mc:AlternateContent>
        <mc:Choice Requires="wps">
          <w:drawing>
            <wp:anchor distT="0" distB="0" distL="114300" distR="114300" simplePos="0" relativeHeight="251661312" behindDoc="0" locked="0" layoutInCell="1" allowOverlap="1" wp14:anchorId="2BAC39E3" wp14:editId="70A4D2CB">
              <wp:simplePos x="0" y="0"/>
              <wp:positionH relativeFrom="column">
                <wp:posOffset>2596718</wp:posOffset>
              </wp:positionH>
              <wp:positionV relativeFrom="paragraph">
                <wp:posOffset>93345</wp:posOffset>
              </wp:positionV>
              <wp:extent cx="2538432" cy="0"/>
              <wp:effectExtent l="0" t="0" r="14605" b="12700"/>
              <wp:wrapNone/>
              <wp:docPr id="1741075623" name="Conector recto 7"/>
              <wp:cNvGraphicFramePr/>
              <a:graphic xmlns:a="http://schemas.openxmlformats.org/drawingml/2006/main">
                <a:graphicData uri="http://schemas.microsoft.com/office/word/2010/wordprocessingShape">
                  <wps:wsp>
                    <wps:cNvCnPr/>
                    <wps:spPr>
                      <a:xfrm>
                        <a:off x="0" y="0"/>
                        <a:ext cx="2538432" cy="0"/>
                      </a:xfrm>
                      <a:prstGeom prst="line">
                        <a:avLst/>
                      </a:prstGeom>
                      <a:ln>
                        <a:solidFill>
                          <a:srgbClr val="213978"/>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EFDE5" id="Conector recto 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5pt,7.35pt" to="404.3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" strokecolor="#213978" strokeweight="1pt">
              <v:stroke joinstyle="miter"/>
            </v:line>
          </w:pict>
        </mc:Fallback>
      </mc:AlternateContent>
    </w:r>
    <w:r w:rsidR="008348B7">
      <w:rPr>
        <w:noProof/>
      </w:rPr>
      <mc:AlternateContent>
        <mc:Choice Requires="wps">
          <w:drawing>
            <wp:anchor distT="0" distB="0" distL="114300" distR="114300" simplePos="0" relativeHeight="251660288" behindDoc="0" locked="0" layoutInCell="1" allowOverlap="1" wp14:anchorId="5E5C1D3E" wp14:editId="2E2A9566">
              <wp:simplePos x="0" y="0"/>
              <wp:positionH relativeFrom="column">
                <wp:posOffset>158356</wp:posOffset>
              </wp:positionH>
              <wp:positionV relativeFrom="paragraph">
                <wp:posOffset>-32891</wp:posOffset>
              </wp:positionV>
              <wp:extent cx="2592729" cy="409903"/>
              <wp:effectExtent l="0" t="0" r="0" b="0"/>
              <wp:wrapNone/>
              <wp:docPr id="839379265" name="Cuadro de texto 6"/>
              <wp:cNvGraphicFramePr/>
              <a:graphic xmlns:a="http://schemas.openxmlformats.org/drawingml/2006/main">
                <a:graphicData uri="http://schemas.microsoft.com/office/word/2010/wordprocessingShape">
                  <wps:wsp>
                    <wps:cNvSpPr txBox="1"/>
                    <wps:spPr>
                      <a:xfrm>
                        <a:off x="0" y="0"/>
                        <a:ext cx="2592729" cy="409903"/>
                      </a:xfrm>
                      <a:prstGeom prst="rect">
                        <a:avLst/>
                      </a:prstGeom>
                      <a:solidFill>
                        <a:schemeClr val="lt1"/>
                      </a:solidFill>
                      <a:ln w="6350">
                        <a:noFill/>
                      </a:ln>
                    </wps:spPr>
                    <wps:txbx>
                      <w:txbxContent>
                        <w:p w14:paraId="38295F7E" w14:textId="067500FD" w:rsidR="00711BDD" w:rsidRPr="008348B7" w:rsidRDefault="00711BDD">
                          <w:pPr>
                            <w:rPr>
                              <w:color w:val="213978"/>
                              <w:lang w:val="es-ES_tradnl"/>
                            </w:rPr>
                          </w:pPr>
                          <w:r w:rsidRPr="008348B7">
                            <w:rPr>
                              <w:color w:val="213978"/>
                              <w:lang w:val="es-ES_tradnl"/>
                            </w:rPr>
                            <w:t>Informe Integrado de gestión 202</w:t>
                          </w:r>
                          <w:r w:rsidR="00D2504C">
                            <w:rPr>
                              <w:color w:val="213978"/>
                              <w:lang w:val="es-ES_tradn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E5C1D3E" id="_x0000_t202" coordsize="21600,21600" o:spt="202" path="m,l,21600r21600,l21600,xe">
              <v:stroke joinstyle="miter"/>
              <v:path gradientshapeok="t" o:connecttype="rect"/>
            </v:shapetype>
            <v:shape id="Cuadro de texto 6" o:spid="_x0000_s1030" type="#_x0000_t202" style="position:absolute;margin-left:12.45pt;margin-top:-2.6pt;width:204.15pt;height:32.3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" fillcolor="white [3201]" stroked="f" strokeweight=".5pt">
              <v:textbox>
                <w:txbxContent>
                  <w:p w14:paraId="38295F7E" w14:textId="067500FD" w:rsidR="00711BDD" w:rsidRPr="008348B7" w:rsidRDefault="00711BDD">
                    <w:pPr>
                      <w:rPr>
                        <w:color w:val="213978"/>
                        <w:lang w:val="es-ES_tradnl"/>
                      </w:rPr>
                    </w:pPr>
                    <w:r w:rsidRPr="008348B7">
                      <w:rPr>
                        <w:color w:val="213978"/>
                        <w:lang w:val="es-ES_tradnl"/>
                      </w:rPr>
                      <w:t>Informe Integrado de gestión 202</w:t>
                    </w:r>
                    <w:r w:rsidR="00D2504C">
                      <w:rPr>
                        <w:color w:val="213978"/>
                        <w:lang w:val="es-ES_tradnl"/>
                      </w:rPr>
                      <w:t>4</w:t>
                    </w:r>
                  </w:p>
                </w:txbxContent>
              </v:textbox>
            </v:shape>
          </w:pict>
        </mc:Fallback>
      </mc:AlternateContent>
    </w:r>
    <w:r w:rsidR="008348B7">
      <w:rPr>
        <w:noProof/>
      </w:rPr>
      <mc:AlternateContent>
        <mc:Choice Requires="wps">
          <w:drawing>
            <wp:anchor distT="228600" distB="228600" distL="114300" distR="114300" simplePos="0" relativeHeight="251659264" behindDoc="0" locked="0" layoutInCell="1" allowOverlap="0" wp14:anchorId="63C150A9" wp14:editId="21A0B432">
              <wp:simplePos x="0" y="0"/>
              <wp:positionH relativeFrom="margin">
                <wp:posOffset>5247005</wp:posOffset>
              </wp:positionH>
              <wp:positionV relativeFrom="page">
                <wp:posOffset>367030</wp:posOffset>
              </wp:positionV>
              <wp:extent cx="359410" cy="359410"/>
              <wp:effectExtent l="0" t="0" r="0" b="0"/>
              <wp:wrapTopAndBottom/>
              <wp:docPr id="133" name="Rectángulo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59410"/>
                      </a:xfrm>
                      <a:prstGeom prst="rect">
                        <a:avLst/>
                      </a:prstGeom>
                      <a:solidFill>
                        <a:srgbClr val="21397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B2D3C2" w14:textId="77777777" w:rsidR="00711BDD" w:rsidRDefault="00711BDD">
                          <w:pPr>
                            <w:pStyle w:val="Encabezado"/>
                            <w:jc w:val="right"/>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rPr>
                            <w:t>0</w:t>
                          </w:r>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C150A9" id="Rectángulo 16" o:spid="_x0000_s1031" style="position:absolute;margin-left:413.15pt;margin-top:28.9pt;width:28.3pt;height:28.3pt;z-index:251659264;visibility:visible;mso-wrap-style:square;mso-width-percent:0;mso-height-percent:0;mso-wrap-distance-left:9pt;mso-wrap-distance-top:18pt;mso-wrap-distance-right:9pt;mso-wrap-distance-bottom:18pt;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" o:allowoverlap="f" fillcolor="#213978" stroked="f" strokeweight="1pt">
              <o:lock v:ext="edit" aspectratio="t"/>
              <v:textbox>
                <w:txbxContent>
                  <w:p w14:paraId="14B2D3C2" w14:textId="77777777" w:rsidR="00711BDD" w:rsidRDefault="00711BDD">
                    <w:pPr>
                      <w:pStyle w:val="Encabezado"/>
                      <w:jc w:val="right"/>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rPr>
                      <w:t>0</w:t>
                    </w:r>
                    <w:r>
                      <w:rPr>
                        <w:color w:val="FFFFFF" w:themeColor="background1"/>
                      </w:rPr>
                      <w:fldChar w:fldCharType="end"/>
                    </w:r>
                  </w:p>
                </w:txbxContent>
              </v:textbox>
              <w10:wrap type="topAndBottom"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67B42"/>
    <w:multiLevelType w:val="multilevel"/>
    <w:tmpl w:val="D6EA4C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12B717C"/>
    <w:multiLevelType w:val="multilevel"/>
    <w:tmpl w:val="C114D1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17F04F3"/>
    <w:multiLevelType w:val="multilevel"/>
    <w:tmpl w:val="0F98A7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1AC63AA"/>
    <w:multiLevelType w:val="multilevel"/>
    <w:tmpl w:val="8FD44A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22625C4"/>
    <w:multiLevelType w:val="multilevel"/>
    <w:tmpl w:val="FF3C552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5" w15:restartNumberingAfterBreak="0">
    <w:nsid w:val="02F05F25"/>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F10D21"/>
    <w:multiLevelType w:val="multilevel"/>
    <w:tmpl w:val="C2CA572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02F17448"/>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3114C1E"/>
    <w:multiLevelType w:val="multilevel"/>
    <w:tmpl w:val="A132A6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0321469E"/>
    <w:multiLevelType w:val="multilevel"/>
    <w:tmpl w:val="A2EE11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463082B"/>
    <w:multiLevelType w:val="multilevel"/>
    <w:tmpl w:val="17FC8A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049904F4"/>
    <w:multiLevelType w:val="hybridMultilevel"/>
    <w:tmpl w:val="45C06322"/>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4BE1AA2"/>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57209E6"/>
    <w:multiLevelType w:val="multilevel"/>
    <w:tmpl w:val="C70A62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060A6B4A"/>
    <w:multiLevelType w:val="multilevel"/>
    <w:tmpl w:val="62F25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6EC419B"/>
    <w:multiLevelType w:val="multilevel"/>
    <w:tmpl w:val="10F864A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 w15:restartNumberingAfterBreak="0">
    <w:nsid w:val="07AA4658"/>
    <w:multiLevelType w:val="multilevel"/>
    <w:tmpl w:val="CB4805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7E63EB4"/>
    <w:multiLevelType w:val="multilevel"/>
    <w:tmpl w:val="74568F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07F872D8"/>
    <w:multiLevelType w:val="multilevel"/>
    <w:tmpl w:val="2354AB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8817CBD"/>
    <w:multiLevelType w:val="multilevel"/>
    <w:tmpl w:val="4AFAE9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08E5711B"/>
    <w:multiLevelType w:val="multilevel"/>
    <w:tmpl w:val="E9D677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093858F9"/>
    <w:multiLevelType w:val="multilevel"/>
    <w:tmpl w:val="0FBABD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0A6A33E8"/>
    <w:multiLevelType w:val="multilevel"/>
    <w:tmpl w:val="2BA490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0C280823"/>
    <w:multiLevelType w:val="multilevel"/>
    <w:tmpl w:val="C74666F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4" w15:restartNumberingAfterBreak="0">
    <w:nsid w:val="0CD61CE3"/>
    <w:multiLevelType w:val="multilevel"/>
    <w:tmpl w:val="EA6A819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0D080F4E"/>
    <w:multiLevelType w:val="multilevel"/>
    <w:tmpl w:val="AD0417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0D65163F"/>
    <w:multiLevelType w:val="multilevel"/>
    <w:tmpl w:val="332C85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0D9F3D11"/>
    <w:multiLevelType w:val="multilevel"/>
    <w:tmpl w:val="E3B423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0DBA502C"/>
    <w:multiLevelType w:val="multilevel"/>
    <w:tmpl w:val="FE4415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0F16604D"/>
    <w:multiLevelType w:val="multilevel"/>
    <w:tmpl w:val="4D1233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0F55590E"/>
    <w:multiLevelType w:val="multilevel"/>
    <w:tmpl w:val="512A31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0F572C8D"/>
    <w:multiLevelType w:val="hybridMultilevel"/>
    <w:tmpl w:val="43D4A176"/>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0FBC5D3D"/>
    <w:multiLevelType w:val="multilevel"/>
    <w:tmpl w:val="78CEE0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10455D95"/>
    <w:multiLevelType w:val="hybridMultilevel"/>
    <w:tmpl w:val="C6DECDE8"/>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115C2171"/>
    <w:multiLevelType w:val="multilevel"/>
    <w:tmpl w:val="368AC2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1D2588F"/>
    <w:multiLevelType w:val="multilevel"/>
    <w:tmpl w:val="3BA20A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121D1499"/>
    <w:multiLevelType w:val="multilevel"/>
    <w:tmpl w:val="E40400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13210F2F"/>
    <w:multiLevelType w:val="multilevel"/>
    <w:tmpl w:val="65F6EB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14066A93"/>
    <w:multiLevelType w:val="hybridMultilevel"/>
    <w:tmpl w:val="8F66BFC6"/>
    <w:lvl w:ilvl="0" w:tplc="84EA8F64">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16A73F5B"/>
    <w:multiLevelType w:val="multilevel"/>
    <w:tmpl w:val="7D1404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17D634DC"/>
    <w:multiLevelType w:val="multilevel"/>
    <w:tmpl w:val="489CEF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186D4B1D"/>
    <w:multiLevelType w:val="multilevel"/>
    <w:tmpl w:val="92FEB0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18896BE8"/>
    <w:multiLevelType w:val="multilevel"/>
    <w:tmpl w:val="C4382E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18ED6C39"/>
    <w:multiLevelType w:val="multilevel"/>
    <w:tmpl w:val="0BBA4D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19672952"/>
    <w:multiLevelType w:val="multilevel"/>
    <w:tmpl w:val="E99483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B2218FF"/>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B6C3D9D"/>
    <w:multiLevelType w:val="hybridMultilevel"/>
    <w:tmpl w:val="E572D86C"/>
    <w:lvl w:ilvl="0" w:tplc="AA503E8E">
      <w:numFmt w:val="bullet"/>
      <w:lvlText w:val="-"/>
      <w:lvlJc w:val="left"/>
      <w:pPr>
        <w:ind w:left="720" w:hanging="360"/>
      </w:pPr>
      <w:rPr>
        <w:rFonts w:ascii="Wide Latin" w:hAnsi="Wide Lati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1E887F75"/>
    <w:multiLevelType w:val="multilevel"/>
    <w:tmpl w:val="0CE648DC"/>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1FC45E48"/>
    <w:multiLevelType w:val="multilevel"/>
    <w:tmpl w:val="5B4C00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1FFB2A51"/>
    <w:multiLevelType w:val="multilevel"/>
    <w:tmpl w:val="62B2B5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20192589"/>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0603F61"/>
    <w:multiLevelType w:val="multilevel"/>
    <w:tmpl w:val="5B1CCB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20A919AB"/>
    <w:multiLevelType w:val="multilevel"/>
    <w:tmpl w:val="C804B5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21097BE3"/>
    <w:multiLevelType w:val="multilevel"/>
    <w:tmpl w:val="10E6AF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21BD7601"/>
    <w:multiLevelType w:val="multilevel"/>
    <w:tmpl w:val="A790B13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222B1515"/>
    <w:multiLevelType w:val="multilevel"/>
    <w:tmpl w:val="FAE831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2259751A"/>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2D16161"/>
    <w:multiLevelType w:val="hybridMultilevel"/>
    <w:tmpl w:val="D2C6A26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24643BEB"/>
    <w:multiLevelType w:val="multilevel"/>
    <w:tmpl w:val="C82824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24F334E9"/>
    <w:multiLevelType w:val="multilevel"/>
    <w:tmpl w:val="3ED009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27330743"/>
    <w:multiLevelType w:val="multilevel"/>
    <w:tmpl w:val="73B0B964"/>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2738396D"/>
    <w:multiLevelType w:val="multilevel"/>
    <w:tmpl w:val="84AE7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79C37A9"/>
    <w:multiLevelType w:val="multilevel"/>
    <w:tmpl w:val="FBA6CD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288F3360"/>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A5652E3"/>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6D5418"/>
    <w:multiLevelType w:val="multilevel"/>
    <w:tmpl w:val="A3880F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2AAB29EC"/>
    <w:multiLevelType w:val="multilevel"/>
    <w:tmpl w:val="E9CCF8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2BD136F6"/>
    <w:multiLevelType w:val="multilevel"/>
    <w:tmpl w:val="99D29E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2DC9469A"/>
    <w:multiLevelType w:val="multilevel"/>
    <w:tmpl w:val="991C4B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2E552B4A"/>
    <w:multiLevelType w:val="multilevel"/>
    <w:tmpl w:val="E1C263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2E7C0C8E"/>
    <w:multiLevelType w:val="multilevel"/>
    <w:tmpl w:val="A18AAD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2EA36D4A"/>
    <w:multiLevelType w:val="multilevel"/>
    <w:tmpl w:val="22D8FA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2F047B62"/>
    <w:multiLevelType w:val="multilevel"/>
    <w:tmpl w:val="5F1404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15:restartNumberingAfterBreak="0">
    <w:nsid w:val="2F2A10C3"/>
    <w:multiLevelType w:val="multilevel"/>
    <w:tmpl w:val="69FA38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2F8964C2"/>
    <w:multiLevelType w:val="multilevel"/>
    <w:tmpl w:val="4FBC681C"/>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ahoma" w:eastAsia="Tahoma" w:hAnsi="Tahoma" w:cs="Tahom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30B669D8"/>
    <w:multiLevelType w:val="multilevel"/>
    <w:tmpl w:val="846227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31031013"/>
    <w:multiLevelType w:val="multilevel"/>
    <w:tmpl w:val="BEB472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310724F7"/>
    <w:multiLevelType w:val="multilevel"/>
    <w:tmpl w:val="C13CB4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31221940"/>
    <w:multiLevelType w:val="multilevel"/>
    <w:tmpl w:val="B8CE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7962454"/>
    <w:multiLevelType w:val="multilevel"/>
    <w:tmpl w:val="B1988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39220D4B"/>
    <w:multiLevelType w:val="multilevel"/>
    <w:tmpl w:val="4FE8E0A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81" w15:restartNumberingAfterBreak="0">
    <w:nsid w:val="39A51D8B"/>
    <w:multiLevelType w:val="multilevel"/>
    <w:tmpl w:val="3D5A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9FA71CB"/>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A575215"/>
    <w:multiLevelType w:val="multilevel"/>
    <w:tmpl w:val="714283B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4" w15:restartNumberingAfterBreak="0">
    <w:nsid w:val="3AA16150"/>
    <w:multiLevelType w:val="hybridMultilevel"/>
    <w:tmpl w:val="754099E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5" w15:restartNumberingAfterBreak="0">
    <w:nsid w:val="3AD41BAC"/>
    <w:multiLevelType w:val="hybridMultilevel"/>
    <w:tmpl w:val="7A1631FE"/>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3CA963F4"/>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CEB56CE"/>
    <w:multiLevelType w:val="multilevel"/>
    <w:tmpl w:val="BEAAF4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3DBA487B"/>
    <w:multiLevelType w:val="multilevel"/>
    <w:tmpl w:val="1E62DAFC"/>
    <w:lvl w:ilvl="0">
      <w:start w:val="1"/>
      <w:numFmt w:val="decimal"/>
      <w:lvlText w:val="%1."/>
      <w:lvlJc w:val="left"/>
      <w:pPr>
        <w:ind w:left="720" w:hanging="360"/>
      </w:pPr>
      <w:rPr>
        <w:rFonts w:ascii="Aptos" w:eastAsia="Aptos" w:hAnsi="Aptos" w:cs="Aptos"/>
        <w:b/>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3EA87599"/>
    <w:multiLevelType w:val="multilevel"/>
    <w:tmpl w:val="780A75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15:restartNumberingAfterBreak="0">
    <w:nsid w:val="3EC70F32"/>
    <w:multiLevelType w:val="multilevel"/>
    <w:tmpl w:val="2C702F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3F710801"/>
    <w:multiLevelType w:val="multilevel"/>
    <w:tmpl w:val="6526D4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3FEF6805"/>
    <w:multiLevelType w:val="multilevel"/>
    <w:tmpl w:val="9E48A0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15:restartNumberingAfterBreak="0">
    <w:nsid w:val="405F4E38"/>
    <w:multiLevelType w:val="multilevel"/>
    <w:tmpl w:val="13B2F0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15:restartNumberingAfterBreak="0">
    <w:nsid w:val="41DF56FD"/>
    <w:multiLevelType w:val="multilevel"/>
    <w:tmpl w:val="D304B798"/>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5" w15:restartNumberingAfterBreak="0">
    <w:nsid w:val="42156A53"/>
    <w:multiLevelType w:val="multilevel"/>
    <w:tmpl w:val="643E20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430960F6"/>
    <w:multiLevelType w:val="multilevel"/>
    <w:tmpl w:val="11483B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7" w15:restartNumberingAfterBreak="0">
    <w:nsid w:val="43A4329E"/>
    <w:multiLevelType w:val="multilevel"/>
    <w:tmpl w:val="2E3AC7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443B4765"/>
    <w:multiLevelType w:val="hybridMultilevel"/>
    <w:tmpl w:val="5B321EE0"/>
    <w:lvl w:ilvl="0" w:tplc="AA503E8E">
      <w:numFmt w:val="bullet"/>
      <w:lvlText w:val="-"/>
      <w:lvlJc w:val="left"/>
      <w:pPr>
        <w:ind w:left="360" w:hanging="360"/>
      </w:pPr>
      <w:rPr>
        <w:rFonts w:ascii="Wide Latin" w:hAnsi="Wide Lati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9" w15:restartNumberingAfterBreak="0">
    <w:nsid w:val="44680DB7"/>
    <w:multiLevelType w:val="multilevel"/>
    <w:tmpl w:val="B0BEDA70"/>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ahoma" w:eastAsia="Tahoma" w:hAnsi="Tahoma" w:cs="Tahom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44AC3249"/>
    <w:multiLevelType w:val="multilevel"/>
    <w:tmpl w:val="B538BB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15:restartNumberingAfterBreak="0">
    <w:nsid w:val="45481964"/>
    <w:multiLevelType w:val="multilevel"/>
    <w:tmpl w:val="8676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5981004"/>
    <w:multiLevelType w:val="multilevel"/>
    <w:tmpl w:val="51DE2A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15:restartNumberingAfterBreak="0">
    <w:nsid w:val="46F016C8"/>
    <w:multiLevelType w:val="multilevel"/>
    <w:tmpl w:val="44ACC5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47A67729"/>
    <w:multiLevelType w:val="hybridMultilevel"/>
    <w:tmpl w:val="7E0ABC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15:restartNumberingAfterBreak="0">
    <w:nsid w:val="47C46FFA"/>
    <w:multiLevelType w:val="multilevel"/>
    <w:tmpl w:val="14B60A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6" w15:restartNumberingAfterBreak="0">
    <w:nsid w:val="48495751"/>
    <w:multiLevelType w:val="multilevel"/>
    <w:tmpl w:val="00B8CB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48E54213"/>
    <w:multiLevelType w:val="hybridMultilevel"/>
    <w:tmpl w:val="48AE92E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8" w15:restartNumberingAfterBreak="0">
    <w:nsid w:val="49A508BE"/>
    <w:multiLevelType w:val="multilevel"/>
    <w:tmpl w:val="4120B2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4A892515"/>
    <w:multiLevelType w:val="multilevel"/>
    <w:tmpl w:val="C072507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0" w15:restartNumberingAfterBreak="0">
    <w:nsid w:val="4C6A3880"/>
    <w:multiLevelType w:val="multilevel"/>
    <w:tmpl w:val="6B421D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15:restartNumberingAfterBreak="0">
    <w:nsid w:val="4D11377A"/>
    <w:multiLevelType w:val="multilevel"/>
    <w:tmpl w:val="FDAAFA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b/>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4E972FCB"/>
    <w:multiLevelType w:val="multilevel"/>
    <w:tmpl w:val="8BDAA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4E9A2F2E"/>
    <w:multiLevelType w:val="multilevel"/>
    <w:tmpl w:val="673244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4" w15:restartNumberingAfterBreak="0">
    <w:nsid w:val="4F9E20BA"/>
    <w:multiLevelType w:val="hybridMultilevel"/>
    <w:tmpl w:val="521A488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5" w15:restartNumberingAfterBreak="0">
    <w:nsid w:val="4FB51F9E"/>
    <w:multiLevelType w:val="multilevel"/>
    <w:tmpl w:val="356A82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6" w15:restartNumberingAfterBreak="0">
    <w:nsid w:val="4FC02D26"/>
    <w:multiLevelType w:val="multilevel"/>
    <w:tmpl w:val="685050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503559B1"/>
    <w:multiLevelType w:val="hybridMultilevel"/>
    <w:tmpl w:val="CDE0C59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8" w15:restartNumberingAfterBreak="0">
    <w:nsid w:val="5108751C"/>
    <w:multiLevelType w:val="multilevel"/>
    <w:tmpl w:val="137E28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9" w15:restartNumberingAfterBreak="0">
    <w:nsid w:val="513F31DC"/>
    <w:multiLevelType w:val="hybridMultilevel"/>
    <w:tmpl w:val="0C92BAE4"/>
    <w:lvl w:ilvl="0" w:tplc="578E56B0">
      <w:start w:val="1"/>
      <w:numFmt w:val="bullet"/>
      <w:lvlText w:val=""/>
      <w:lvlJc w:val="left"/>
      <w:pPr>
        <w:tabs>
          <w:tab w:val="num" w:pos="720"/>
        </w:tabs>
        <w:ind w:left="720" w:hanging="360"/>
      </w:pPr>
      <w:rPr>
        <w:rFonts w:ascii="Wingdings" w:hAnsi="Wingdings" w:hint="default"/>
      </w:rPr>
    </w:lvl>
    <w:lvl w:ilvl="1" w:tplc="228CDF2E">
      <w:start w:val="1"/>
      <w:numFmt w:val="lowerLetter"/>
      <w:lvlText w:val="%2."/>
      <w:lvlJc w:val="left"/>
      <w:pPr>
        <w:tabs>
          <w:tab w:val="num" w:pos="1440"/>
        </w:tabs>
        <w:ind w:left="1440" w:hanging="360"/>
      </w:pPr>
    </w:lvl>
    <w:lvl w:ilvl="2" w:tplc="95F8DBBE">
      <w:start w:val="1"/>
      <w:numFmt w:val="lowerRoman"/>
      <w:lvlText w:val="%3."/>
      <w:lvlJc w:val="right"/>
      <w:pPr>
        <w:tabs>
          <w:tab w:val="num" w:pos="2160"/>
        </w:tabs>
        <w:ind w:left="2160" w:hanging="360"/>
      </w:pPr>
    </w:lvl>
    <w:lvl w:ilvl="3" w:tplc="82AC72D0" w:tentative="1">
      <w:start w:val="1"/>
      <w:numFmt w:val="bullet"/>
      <w:lvlText w:val=""/>
      <w:lvlJc w:val="left"/>
      <w:pPr>
        <w:tabs>
          <w:tab w:val="num" w:pos="2880"/>
        </w:tabs>
        <w:ind w:left="2880" w:hanging="360"/>
      </w:pPr>
      <w:rPr>
        <w:rFonts w:ascii="Wingdings" w:hAnsi="Wingdings" w:hint="default"/>
      </w:rPr>
    </w:lvl>
    <w:lvl w:ilvl="4" w:tplc="186E9ED8" w:tentative="1">
      <w:start w:val="1"/>
      <w:numFmt w:val="bullet"/>
      <w:lvlText w:val=""/>
      <w:lvlJc w:val="left"/>
      <w:pPr>
        <w:tabs>
          <w:tab w:val="num" w:pos="3600"/>
        </w:tabs>
        <w:ind w:left="3600" w:hanging="360"/>
      </w:pPr>
      <w:rPr>
        <w:rFonts w:ascii="Wingdings" w:hAnsi="Wingdings" w:hint="default"/>
      </w:rPr>
    </w:lvl>
    <w:lvl w:ilvl="5" w:tplc="4130270E" w:tentative="1">
      <w:start w:val="1"/>
      <w:numFmt w:val="bullet"/>
      <w:lvlText w:val=""/>
      <w:lvlJc w:val="left"/>
      <w:pPr>
        <w:tabs>
          <w:tab w:val="num" w:pos="4320"/>
        </w:tabs>
        <w:ind w:left="4320" w:hanging="360"/>
      </w:pPr>
      <w:rPr>
        <w:rFonts w:ascii="Wingdings" w:hAnsi="Wingdings" w:hint="default"/>
      </w:rPr>
    </w:lvl>
    <w:lvl w:ilvl="6" w:tplc="9BEA0208" w:tentative="1">
      <w:start w:val="1"/>
      <w:numFmt w:val="bullet"/>
      <w:lvlText w:val=""/>
      <w:lvlJc w:val="left"/>
      <w:pPr>
        <w:tabs>
          <w:tab w:val="num" w:pos="5040"/>
        </w:tabs>
        <w:ind w:left="5040" w:hanging="360"/>
      </w:pPr>
      <w:rPr>
        <w:rFonts w:ascii="Wingdings" w:hAnsi="Wingdings" w:hint="default"/>
      </w:rPr>
    </w:lvl>
    <w:lvl w:ilvl="7" w:tplc="57CE11D0" w:tentative="1">
      <w:start w:val="1"/>
      <w:numFmt w:val="bullet"/>
      <w:lvlText w:val=""/>
      <w:lvlJc w:val="left"/>
      <w:pPr>
        <w:tabs>
          <w:tab w:val="num" w:pos="5760"/>
        </w:tabs>
        <w:ind w:left="5760" w:hanging="360"/>
      </w:pPr>
      <w:rPr>
        <w:rFonts w:ascii="Wingdings" w:hAnsi="Wingdings" w:hint="default"/>
      </w:rPr>
    </w:lvl>
    <w:lvl w:ilvl="8" w:tplc="B5C4A3B2"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5343711C"/>
    <w:multiLevelType w:val="multilevel"/>
    <w:tmpl w:val="27ECFA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1" w15:restartNumberingAfterBreak="0">
    <w:nsid w:val="539A133C"/>
    <w:multiLevelType w:val="multilevel"/>
    <w:tmpl w:val="414A0D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2" w15:restartNumberingAfterBreak="0">
    <w:nsid w:val="53B46624"/>
    <w:multiLevelType w:val="multilevel"/>
    <w:tmpl w:val="89389D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15:restartNumberingAfterBreak="0">
    <w:nsid w:val="543549DC"/>
    <w:multiLevelType w:val="multilevel"/>
    <w:tmpl w:val="A3A43F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4" w15:restartNumberingAfterBreak="0">
    <w:nsid w:val="54AA3CBD"/>
    <w:multiLevelType w:val="multilevel"/>
    <w:tmpl w:val="B358A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5" w15:restartNumberingAfterBreak="0">
    <w:nsid w:val="54BA29B1"/>
    <w:multiLevelType w:val="multilevel"/>
    <w:tmpl w:val="2C02B5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553F2C4C"/>
    <w:multiLevelType w:val="hybridMultilevel"/>
    <w:tmpl w:val="26BEBED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7" w15:restartNumberingAfterBreak="0">
    <w:nsid w:val="56430263"/>
    <w:multiLevelType w:val="hybridMultilevel"/>
    <w:tmpl w:val="A3DC9B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8" w15:restartNumberingAfterBreak="0">
    <w:nsid w:val="56A6775C"/>
    <w:multiLevelType w:val="multilevel"/>
    <w:tmpl w:val="D076FA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15:restartNumberingAfterBreak="0">
    <w:nsid w:val="57134D7C"/>
    <w:multiLevelType w:val="hybridMultilevel"/>
    <w:tmpl w:val="8F4A9BA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0" w15:restartNumberingAfterBreak="0">
    <w:nsid w:val="57D25A41"/>
    <w:multiLevelType w:val="multilevel"/>
    <w:tmpl w:val="69EE44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580A445D"/>
    <w:multiLevelType w:val="multilevel"/>
    <w:tmpl w:val="C49E55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2" w15:restartNumberingAfterBreak="0">
    <w:nsid w:val="58690388"/>
    <w:multiLevelType w:val="multilevel"/>
    <w:tmpl w:val="374473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15:restartNumberingAfterBreak="0">
    <w:nsid w:val="58D368B3"/>
    <w:multiLevelType w:val="multilevel"/>
    <w:tmpl w:val="F654B7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4" w15:restartNumberingAfterBreak="0">
    <w:nsid w:val="58E63F4B"/>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99F7476"/>
    <w:multiLevelType w:val="multilevel"/>
    <w:tmpl w:val="3CCCD8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15:restartNumberingAfterBreak="0">
    <w:nsid w:val="5A006937"/>
    <w:multiLevelType w:val="multilevel"/>
    <w:tmpl w:val="46489F82"/>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7" w15:restartNumberingAfterBreak="0">
    <w:nsid w:val="5AF53A89"/>
    <w:multiLevelType w:val="multilevel"/>
    <w:tmpl w:val="907A0A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8" w15:restartNumberingAfterBreak="0">
    <w:nsid w:val="5B232229"/>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BB91C21"/>
    <w:multiLevelType w:val="multilevel"/>
    <w:tmpl w:val="8DCAEB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0" w15:restartNumberingAfterBreak="0">
    <w:nsid w:val="5BC13AB3"/>
    <w:multiLevelType w:val="multilevel"/>
    <w:tmpl w:val="339E7B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1" w15:restartNumberingAfterBreak="0">
    <w:nsid w:val="5BE10145"/>
    <w:multiLevelType w:val="hybridMultilevel"/>
    <w:tmpl w:val="DFF69018"/>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5CEC03FE"/>
    <w:multiLevelType w:val="hybridMultilevel"/>
    <w:tmpl w:val="8B0820FA"/>
    <w:lvl w:ilvl="0" w:tplc="AA503E8E">
      <w:numFmt w:val="bullet"/>
      <w:lvlText w:val="-"/>
      <w:lvlJc w:val="left"/>
      <w:pPr>
        <w:ind w:left="360" w:hanging="360"/>
      </w:pPr>
      <w:rPr>
        <w:rFonts w:ascii="Wide Latin" w:hAnsi="Wide Lati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3" w15:restartNumberingAfterBreak="0">
    <w:nsid w:val="5D6D70E0"/>
    <w:multiLevelType w:val="multilevel"/>
    <w:tmpl w:val="475030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4" w15:restartNumberingAfterBreak="0">
    <w:nsid w:val="5DBC2D40"/>
    <w:multiLevelType w:val="hybridMultilevel"/>
    <w:tmpl w:val="5B9E55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5" w15:restartNumberingAfterBreak="0">
    <w:nsid w:val="5DFD7B50"/>
    <w:multiLevelType w:val="multilevel"/>
    <w:tmpl w:val="1824A6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60795CA5"/>
    <w:multiLevelType w:val="hybridMultilevel"/>
    <w:tmpl w:val="FCB8AB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7" w15:restartNumberingAfterBreak="0">
    <w:nsid w:val="61554C04"/>
    <w:multiLevelType w:val="multilevel"/>
    <w:tmpl w:val="D13A2D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8" w15:restartNumberingAfterBreak="0">
    <w:nsid w:val="63B979C1"/>
    <w:multiLevelType w:val="multilevel"/>
    <w:tmpl w:val="64C2F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15:restartNumberingAfterBreak="0">
    <w:nsid w:val="666278C8"/>
    <w:multiLevelType w:val="multilevel"/>
    <w:tmpl w:val="DE24AC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0" w15:restartNumberingAfterBreak="0">
    <w:nsid w:val="67836724"/>
    <w:multiLevelType w:val="multilevel"/>
    <w:tmpl w:val="27E4D8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1" w15:restartNumberingAfterBreak="0">
    <w:nsid w:val="67FD2F11"/>
    <w:multiLevelType w:val="multilevel"/>
    <w:tmpl w:val="BD3AFB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6899050E"/>
    <w:multiLevelType w:val="multilevel"/>
    <w:tmpl w:val="577A41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69441BBB"/>
    <w:multiLevelType w:val="multilevel"/>
    <w:tmpl w:val="3A4CFC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4" w15:restartNumberingAfterBreak="0">
    <w:nsid w:val="69467300"/>
    <w:multiLevelType w:val="multilevel"/>
    <w:tmpl w:val="4BCAE6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5" w15:restartNumberingAfterBreak="0">
    <w:nsid w:val="69C449C9"/>
    <w:multiLevelType w:val="multilevel"/>
    <w:tmpl w:val="F7F2B426"/>
    <w:styleLink w:val="Listaactual1"/>
    <w:lvl w:ilvl="0">
      <w:start w:val="1"/>
      <w:numFmt w:val="bullet"/>
      <w:lvlText w:val="-"/>
      <w:lvlJc w:val="left"/>
      <w:pPr>
        <w:ind w:left="720" w:hanging="360"/>
      </w:pPr>
      <w:rPr>
        <w:rFonts w:ascii="Tahoma" w:eastAsia="Tahoma" w:hAnsi="Tahoma" w:cs="Tahoma"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6" w15:restartNumberingAfterBreak="0">
    <w:nsid w:val="6B7E0D50"/>
    <w:multiLevelType w:val="multilevel"/>
    <w:tmpl w:val="BA1092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6BE56CF4"/>
    <w:multiLevelType w:val="multilevel"/>
    <w:tmpl w:val="321CEC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8" w15:restartNumberingAfterBreak="0">
    <w:nsid w:val="6CBF2804"/>
    <w:multiLevelType w:val="multilevel"/>
    <w:tmpl w:val="D14C06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9" w15:restartNumberingAfterBreak="0">
    <w:nsid w:val="6DCE59AD"/>
    <w:multiLevelType w:val="multilevel"/>
    <w:tmpl w:val="156C28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15:restartNumberingAfterBreak="0">
    <w:nsid w:val="6E101987"/>
    <w:multiLevelType w:val="hybridMultilevel"/>
    <w:tmpl w:val="29CCC0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1" w15:restartNumberingAfterBreak="0">
    <w:nsid w:val="6E8110C7"/>
    <w:multiLevelType w:val="multilevel"/>
    <w:tmpl w:val="BCE895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2" w15:restartNumberingAfterBreak="0">
    <w:nsid w:val="6FBD6481"/>
    <w:multiLevelType w:val="hybridMultilevel"/>
    <w:tmpl w:val="8F1240BE"/>
    <w:lvl w:ilvl="0" w:tplc="2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3" w15:restartNumberingAfterBreak="0">
    <w:nsid w:val="71FB0DBF"/>
    <w:multiLevelType w:val="multilevel"/>
    <w:tmpl w:val="38602A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4" w15:restartNumberingAfterBreak="0">
    <w:nsid w:val="722011FB"/>
    <w:multiLevelType w:val="hybridMultilevel"/>
    <w:tmpl w:val="14E4B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5" w15:restartNumberingAfterBreak="0">
    <w:nsid w:val="723526D3"/>
    <w:multiLevelType w:val="multilevel"/>
    <w:tmpl w:val="6F660F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6" w15:restartNumberingAfterBreak="0">
    <w:nsid w:val="73041E13"/>
    <w:multiLevelType w:val="multilevel"/>
    <w:tmpl w:val="D56AE7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7" w15:restartNumberingAfterBreak="0">
    <w:nsid w:val="784C5EDC"/>
    <w:multiLevelType w:val="multilevel"/>
    <w:tmpl w:val="F2728D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8" w15:restartNumberingAfterBreak="0">
    <w:nsid w:val="78D317DD"/>
    <w:multiLevelType w:val="hybridMultilevel"/>
    <w:tmpl w:val="9EB06F60"/>
    <w:lvl w:ilvl="0" w:tplc="07DA994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9" w15:restartNumberingAfterBreak="0">
    <w:nsid w:val="79934BB6"/>
    <w:multiLevelType w:val="multilevel"/>
    <w:tmpl w:val="B39ABC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0" w15:restartNumberingAfterBreak="0">
    <w:nsid w:val="79B44046"/>
    <w:multiLevelType w:val="multilevel"/>
    <w:tmpl w:val="172097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1" w15:restartNumberingAfterBreak="0">
    <w:nsid w:val="79BD223A"/>
    <w:multiLevelType w:val="multilevel"/>
    <w:tmpl w:val="940E48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2" w15:restartNumberingAfterBreak="0">
    <w:nsid w:val="7A7410AD"/>
    <w:multiLevelType w:val="multilevel"/>
    <w:tmpl w:val="D7CA1C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3" w15:restartNumberingAfterBreak="0">
    <w:nsid w:val="7B89111C"/>
    <w:multiLevelType w:val="multilevel"/>
    <w:tmpl w:val="49C696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4" w15:restartNumberingAfterBreak="0">
    <w:nsid w:val="7C081C04"/>
    <w:multiLevelType w:val="multilevel"/>
    <w:tmpl w:val="09EE28A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5" w15:restartNumberingAfterBreak="0">
    <w:nsid w:val="7C633984"/>
    <w:multiLevelType w:val="multilevel"/>
    <w:tmpl w:val="670EF66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6" w15:restartNumberingAfterBreak="0">
    <w:nsid w:val="7CC852EA"/>
    <w:multiLevelType w:val="multilevel"/>
    <w:tmpl w:val="33F234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7" w15:restartNumberingAfterBreak="0">
    <w:nsid w:val="7CF21C2F"/>
    <w:multiLevelType w:val="multilevel"/>
    <w:tmpl w:val="E60CE4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8" w15:restartNumberingAfterBreak="0">
    <w:nsid w:val="7DCB1EFE"/>
    <w:multiLevelType w:val="multilevel"/>
    <w:tmpl w:val="4B00D3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7DCD6A7B"/>
    <w:multiLevelType w:val="multilevel"/>
    <w:tmpl w:val="844CFD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7DFF7394"/>
    <w:multiLevelType w:val="multilevel"/>
    <w:tmpl w:val="8DFC74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15:restartNumberingAfterBreak="0">
    <w:nsid w:val="7EB238A8"/>
    <w:multiLevelType w:val="multilevel"/>
    <w:tmpl w:val="84F0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ED46119"/>
    <w:multiLevelType w:val="multilevel"/>
    <w:tmpl w:val="7E6437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03998299">
    <w:abstractNumId w:val="155"/>
  </w:num>
  <w:num w:numId="2" w16cid:durableId="605885148">
    <w:abstractNumId w:val="11"/>
  </w:num>
  <w:num w:numId="3" w16cid:durableId="1484472535">
    <w:abstractNumId w:val="141"/>
  </w:num>
  <w:num w:numId="4" w16cid:durableId="2061977070">
    <w:abstractNumId w:val="8"/>
  </w:num>
  <w:num w:numId="5" w16cid:durableId="2003579492">
    <w:abstractNumId w:val="30"/>
  </w:num>
  <w:num w:numId="6" w16cid:durableId="803087028">
    <w:abstractNumId w:val="158"/>
  </w:num>
  <w:num w:numId="7" w16cid:durableId="1708529599">
    <w:abstractNumId w:val="132"/>
  </w:num>
  <w:num w:numId="8" w16cid:durableId="440420021">
    <w:abstractNumId w:val="73"/>
  </w:num>
  <w:num w:numId="9" w16cid:durableId="1716195951">
    <w:abstractNumId w:val="52"/>
  </w:num>
  <w:num w:numId="10" w16cid:durableId="297804683">
    <w:abstractNumId w:val="47"/>
  </w:num>
  <w:num w:numId="11" w16cid:durableId="1021319663">
    <w:abstractNumId w:val="124"/>
  </w:num>
  <w:num w:numId="12" w16cid:durableId="1037655443">
    <w:abstractNumId w:val="96"/>
  </w:num>
  <w:num w:numId="13" w16cid:durableId="590970877">
    <w:abstractNumId w:val="9"/>
  </w:num>
  <w:num w:numId="14" w16cid:durableId="1220240291">
    <w:abstractNumId w:val="48"/>
  </w:num>
  <w:num w:numId="15" w16cid:durableId="1974670865">
    <w:abstractNumId w:val="165"/>
  </w:num>
  <w:num w:numId="16" w16cid:durableId="1784885993">
    <w:abstractNumId w:val="143"/>
  </w:num>
  <w:num w:numId="17" w16cid:durableId="528883172">
    <w:abstractNumId w:val="49"/>
  </w:num>
  <w:num w:numId="18" w16cid:durableId="1615555276">
    <w:abstractNumId w:val="21"/>
  </w:num>
  <w:num w:numId="19" w16cid:durableId="1973634715">
    <w:abstractNumId w:val="28"/>
  </w:num>
  <w:num w:numId="20" w16cid:durableId="759448455">
    <w:abstractNumId w:val="166"/>
  </w:num>
  <w:num w:numId="21" w16cid:durableId="188380105">
    <w:abstractNumId w:val="130"/>
  </w:num>
  <w:num w:numId="22" w16cid:durableId="13653296">
    <w:abstractNumId w:val="123"/>
  </w:num>
  <w:num w:numId="23" w16cid:durableId="2123105032">
    <w:abstractNumId w:val="75"/>
  </w:num>
  <w:num w:numId="24" w16cid:durableId="1736933237">
    <w:abstractNumId w:val="100"/>
  </w:num>
  <w:num w:numId="25" w16cid:durableId="1649280260">
    <w:abstractNumId w:val="36"/>
  </w:num>
  <w:num w:numId="26" w16cid:durableId="1097556884">
    <w:abstractNumId w:val="27"/>
  </w:num>
  <w:num w:numId="27" w16cid:durableId="265357443">
    <w:abstractNumId w:val="172"/>
  </w:num>
  <w:num w:numId="28" w16cid:durableId="1864397510">
    <w:abstractNumId w:val="69"/>
  </w:num>
  <w:num w:numId="29" w16cid:durableId="470903853">
    <w:abstractNumId w:val="41"/>
  </w:num>
  <w:num w:numId="30" w16cid:durableId="796485942">
    <w:abstractNumId w:val="147"/>
  </w:num>
  <w:num w:numId="31" w16cid:durableId="864682657">
    <w:abstractNumId w:val="180"/>
  </w:num>
  <w:num w:numId="32" w16cid:durableId="1706101065">
    <w:abstractNumId w:val="17"/>
  </w:num>
  <w:num w:numId="33" w16cid:durableId="1166356812">
    <w:abstractNumId w:val="121"/>
  </w:num>
  <w:num w:numId="34" w16cid:durableId="1880311512">
    <w:abstractNumId w:val="110"/>
  </w:num>
  <w:num w:numId="35" w16cid:durableId="1078013507">
    <w:abstractNumId w:val="97"/>
  </w:num>
  <w:num w:numId="36" w16cid:durableId="465707393">
    <w:abstractNumId w:val="65"/>
  </w:num>
  <w:num w:numId="37" w16cid:durableId="1716540425">
    <w:abstractNumId w:val="90"/>
  </w:num>
  <w:num w:numId="38" w16cid:durableId="269163908">
    <w:abstractNumId w:val="92"/>
  </w:num>
  <w:num w:numId="39" w16cid:durableId="121658381">
    <w:abstractNumId w:val="3"/>
  </w:num>
  <w:num w:numId="40" w16cid:durableId="542407181">
    <w:abstractNumId w:val="95"/>
  </w:num>
  <w:num w:numId="41" w16cid:durableId="1164738522">
    <w:abstractNumId w:val="20"/>
  </w:num>
  <w:num w:numId="42" w16cid:durableId="1052316196">
    <w:abstractNumId w:val="128"/>
  </w:num>
  <w:num w:numId="43" w16cid:durableId="474883336">
    <w:abstractNumId w:val="122"/>
  </w:num>
  <w:num w:numId="44" w16cid:durableId="487940612">
    <w:abstractNumId w:val="135"/>
  </w:num>
  <w:num w:numId="45" w16cid:durableId="1130396007">
    <w:abstractNumId w:val="131"/>
  </w:num>
  <w:num w:numId="46" w16cid:durableId="1003750823">
    <w:abstractNumId w:val="43"/>
  </w:num>
  <w:num w:numId="47" w16cid:durableId="655032396">
    <w:abstractNumId w:val="22"/>
  </w:num>
  <w:num w:numId="48" w16cid:durableId="334458189">
    <w:abstractNumId w:val="161"/>
  </w:num>
  <w:num w:numId="49" w16cid:durableId="555821638">
    <w:abstractNumId w:val="120"/>
  </w:num>
  <w:num w:numId="50" w16cid:durableId="2111316433">
    <w:abstractNumId w:val="55"/>
  </w:num>
  <w:num w:numId="51" w16cid:durableId="222062449">
    <w:abstractNumId w:val="25"/>
  </w:num>
  <w:num w:numId="52" w16cid:durableId="336540417">
    <w:abstractNumId w:val="151"/>
  </w:num>
  <w:num w:numId="53" w16cid:durableId="14230345">
    <w:abstractNumId w:val="170"/>
  </w:num>
  <w:num w:numId="54" w16cid:durableId="1586693781">
    <w:abstractNumId w:val="149"/>
  </w:num>
  <w:num w:numId="55" w16cid:durableId="1465079949">
    <w:abstractNumId w:val="40"/>
  </w:num>
  <w:num w:numId="56" w16cid:durableId="1510870671">
    <w:abstractNumId w:val="111"/>
  </w:num>
  <w:num w:numId="57" w16cid:durableId="2107337379">
    <w:abstractNumId w:val="87"/>
  </w:num>
  <w:num w:numId="58" w16cid:durableId="1817409027">
    <w:abstractNumId w:val="99"/>
  </w:num>
  <w:num w:numId="59" w16cid:durableId="435684210">
    <w:abstractNumId w:val="34"/>
  </w:num>
  <w:num w:numId="60" w16cid:durableId="95833429">
    <w:abstractNumId w:val="139"/>
  </w:num>
  <w:num w:numId="61" w16cid:durableId="471868413">
    <w:abstractNumId w:val="39"/>
  </w:num>
  <w:num w:numId="62" w16cid:durableId="1115324172">
    <w:abstractNumId w:val="53"/>
  </w:num>
  <w:num w:numId="63" w16cid:durableId="269629057">
    <w:abstractNumId w:val="72"/>
  </w:num>
  <w:num w:numId="64" w16cid:durableId="2135633846">
    <w:abstractNumId w:val="89"/>
  </w:num>
  <w:num w:numId="65" w16cid:durableId="598099703">
    <w:abstractNumId w:val="88"/>
  </w:num>
  <w:num w:numId="66" w16cid:durableId="891231302">
    <w:abstractNumId w:val="145"/>
  </w:num>
  <w:num w:numId="67" w16cid:durableId="790131439">
    <w:abstractNumId w:val="42"/>
  </w:num>
  <w:num w:numId="68" w16cid:durableId="170804944">
    <w:abstractNumId w:val="6"/>
  </w:num>
  <w:num w:numId="69" w16cid:durableId="1737360315">
    <w:abstractNumId w:val="23"/>
  </w:num>
  <w:num w:numId="70" w16cid:durableId="890846908">
    <w:abstractNumId w:val="182"/>
  </w:num>
  <w:num w:numId="71" w16cid:durableId="977884337">
    <w:abstractNumId w:val="116"/>
  </w:num>
  <w:num w:numId="72" w16cid:durableId="1560433420">
    <w:abstractNumId w:val="179"/>
  </w:num>
  <w:num w:numId="73" w16cid:durableId="914709732">
    <w:abstractNumId w:val="15"/>
  </w:num>
  <w:num w:numId="74" w16cid:durableId="2079206022">
    <w:abstractNumId w:val="14"/>
  </w:num>
  <w:num w:numId="75" w16cid:durableId="403340673">
    <w:abstractNumId w:val="74"/>
  </w:num>
  <w:num w:numId="76" w16cid:durableId="1218855192">
    <w:abstractNumId w:val="66"/>
  </w:num>
  <w:num w:numId="77" w16cid:durableId="1178275330">
    <w:abstractNumId w:val="18"/>
  </w:num>
  <w:num w:numId="78" w16cid:durableId="119495374">
    <w:abstractNumId w:val="16"/>
  </w:num>
  <w:num w:numId="79" w16cid:durableId="1042443743">
    <w:abstractNumId w:val="154"/>
  </w:num>
  <w:num w:numId="80" w16cid:durableId="26957915">
    <w:abstractNumId w:val="150"/>
  </w:num>
  <w:num w:numId="81" w16cid:durableId="1776243746">
    <w:abstractNumId w:val="102"/>
  </w:num>
  <w:num w:numId="82" w16cid:durableId="1233931199">
    <w:abstractNumId w:val="29"/>
  </w:num>
  <w:num w:numId="83" w16cid:durableId="1623726167">
    <w:abstractNumId w:val="19"/>
  </w:num>
  <w:num w:numId="84" w16cid:durableId="590088532">
    <w:abstractNumId w:val="171"/>
  </w:num>
  <w:num w:numId="85" w16cid:durableId="2024091921">
    <w:abstractNumId w:val="156"/>
  </w:num>
  <w:num w:numId="86" w16cid:durableId="1592540966">
    <w:abstractNumId w:val="113"/>
  </w:num>
  <w:num w:numId="87" w16cid:durableId="791173048">
    <w:abstractNumId w:val="68"/>
  </w:num>
  <w:num w:numId="88" w16cid:durableId="1065490179">
    <w:abstractNumId w:val="93"/>
  </w:num>
  <w:num w:numId="89" w16cid:durableId="1977953116">
    <w:abstractNumId w:val="106"/>
  </w:num>
  <w:num w:numId="90" w16cid:durableId="1950816537">
    <w:abstractNumId w:val="105"/>
  </w:num>
  <w:num w:numId="91" w16cid:durableId="1401367794">
    <w:abstractNumId w:val="58"/>
  </w:num>
  <w:num w:numId="92" w16cid:durableId="1059864877">
    <w:abstractNumId w:val="71"/>
  </w:num>
  <w:num w:numId="93" w16cid:durableId="2018270387">
    <w:abstractNumId w:val="59"/>
  </w:num>
  <w:num w:numId="94" w16cid:durableId="119036872">
    <w:abstractNumId w:val="140"/>
  </w:num>
  <w:num w:numId="95" w16cid:durableId="326253287">
    <w:abstractNumId w:val="91"/>
  </w:num>
  <w:num w:numId="96" w16cid:durableId="345063147">
    <w:abstractNumId w:val="62"/>
  </w:num>
  <w:num w:numId="97" w16cid:durableId="1860773272">
    <w:abstractNumId w:val="67"/>
  </w:num>
  <w:num w:numId="98" w16cid:durableId="669404954">
    <w:abstractNumId w:val="76"/>
  </w:num>
  <w:num w:numId="99" w16cid:durableId="1834493294">
    <w:abstractNumId w:val="44"/>
  </w:num>
  <w:num w:numId="100" w16cid:durableId="2122652555">
    <w:abstractNumId w:val="103"/>
  </w:num>
  <w:num w:numId="101" w16cid:durableId="1080758804">
    <w:abstractNumId w:val="94"/>
  </w:num>
  <w:num w:numId="102" w16cid:durableId="315570352">
    <w:abstractNumId w:val="136"/>
  </w:num>
  <w:num w:numId="103" w16cid:durableId="1250773872">
    <w:abstractNumId w:val="133"/>
  </w:num>
  <w:num w:numId="104" w16cid:durableId="1100445348">
    <w:abstractNumId w:val="164"/>
  </w:num>
  <w:num w:numId="105" w16cid:durableId="1966344914">
    <w:abstractNumId w:val="38"/>
  </w:num>
  <w:num w:numId="106" w16cid:durableId="717170112">
    <w:abstractNumId w:val="98"/>
  </w:num>
  <w:num w:numId="107" w16cid:durableId="573899194">
    <w:abstractNumId w:val="142"/>
  </w:num>
  <w:num w:numId="108" w16cid:durableId="894045444">
    <w:abstractNumId w:val="46"/>
  </w:num>
  <w:num w:numId="109" w16cid:durableId="1665668665">
    <w:abstractNumId w:val="115"/>
  </w:num>
  <w:num w:numId="110" w16cid:durableId="153301585">
    <w:abstractNumId w:val="167"/>
  </w:num>
  <w:num w:numId="111" w16cid:durableId="1749227029">
    <w:abstractNumId w:val="163"/>
  </w:num>
  <w:num w:numId="112" w16cid:durableId="1077558108">
    <w:abstractNumId w:val="0"/>
  </w:num>
  <w:num w:numId="113" w16cid:durableId="1553929630">
    <w:abstractNumId w:val="10"/>
  </w:num>
  <w:num w:numId="114" w16cid:durableId="1728920538">
    <w:abstractNumId w:val="153"/>
  </w:num>
  <w:num w:numId="115" w16cid:durableId="977302645">
    <w:abstractNumId w:val="79"/>
  </w:num>
  <w:num w:numId="116" w16cid:durableId="1453938521">
    <w:abstractNumId w:val="70"/>
  </w:num>
  <w:num w:numId="117" w16cid:durableId="2104261687">
    <w:abstractNumId w:val="24"/>
  </w:num>
  <w:num w:numId="118" w16cid:durableId="627013326">
    <w:abstractNumId w:val="51"/>
  </w:num>
  <w:num w:numId="119" w16cid:durableId="493836725">
    <w:abstractNumId w:val="157"/>
  </w:num>
  <w:num w:numId="120" w16cid:durableId="1287813692">
    <w:abstractNumId w:val="108"/>
  </w:num>
  <w:num w:numId="121" w16cid:durableId="1415711194">
    <w:abstractNumId w:val="118"/>
  </w:num>
  <w:num w:numId="122" w16cid:durableId="189225550">
    <w:abstractNumId w:val="169"/>
  </w:num>
  <w:num w:numId="123" w16cid:durableId="78988207">
    <w:abstractNumId w:val="1"/>
  </w:num>
  <w:num w:numId="124" w16cid:durableId="816141359">
    <w:abstractNumId w:val="2"/>
  </w:num>
  <w:num w:numId="125" w16cid:durableId="2115860649">
    <w:abstractNumId w:val="159"/>
  </w:num>
  <w:num w:numId="126" w16cid:durableId="677773941">
    <w:abstractNumId w:val="26"/>
  </w:num>
  <w:num w:numId="127" w16cid:durableId="2108500552">
    <w:abstractNumId w:val="54"/>
  </w:num>
  <w:num w:numId="128" w16cid:durableId="834225199">
    <w:abstractNumId w:val="35"/>
  </w:num>
  <w:num w:numId="129" w16cid:durableId="1501043199">
    <w:abstractNumId w:val="176"/>
  </w:num>
  <w:num w:numId="130" w16cid:durableId="2022512990">
    <w:abstractNumId w:val="13"/>
  </w:num>
  <w:num w:numId="131" w16cid:durableId="1814103242">
    <w:abstractNumId w:val="137"/>
  </w:num>
  <w:num w:numId="132" w16cid:durableId="1701055135">
    <w:abstractNumId w:val="109"/>
  </w:num>
  <w:num w:numId="133" w16cid:durableId="592518814">
    <w:abstractNumId w:val="83"/>
  </w:num>
  <w:num w:numId="134" w16cid:durableId="1320572694">
    <w:abstractNumId w:val="174"/>
  </w:num>
  <w:num w:numId="135" w16cid:durableId="1527135890">
    <w:abstractNumId w:val="32"/>
  </w:num>
  <w:num w:numId="136" w16cid:durableId="525480879">
    <w:abstractNumId w:val="177"/>
  </w:num>
  <w:num w:numId="137" w16cid:durableId="1280837545">
    <w:abstractNumId w:val="37"/>
  </w:num>
  <w:num w:numId="138" w16cid:durableId="219755151">
    <w:abstractNumId w:val="173"/>
  </w:num>
  <w:num w:numId="139" w16cid:durableId="1225750214">
    <w:abstractNumId w:val="125"/>
  </w:num>
  <w:num w:numId="140" w16cid:durableId="522716337">
    <w:abstractNumId w:val="60"/>
  </w:num>
  <w:num w:numId="141" w16cid:durableId="1937202642">
    <w:abstractNumId w:val="148"/>
  </w:num>
  <w:num w:numId="142" w16cid:durableId="1021979002">
    <w:abstractNumId w:val="152"/>
  </w:num>
  <w:num w:numId="143" w16cid:durableId="1052995524">
    <w:abstractNumId w:val="178"/>
  </w:num>
  <w:num w:numId="144" w16cid:durableId="726688468">
    <w:abstractNumId w:val="112"/>
  </w:num>
  <w:num w:numId="145" w16cid:durableId="47846000">
    <w:abstractNumId w:val="80"/>
  </w:num>
  <w:num w:numId="146" w16cid:durableId="1366058735">
    <w:abstractNumId w:val="4"/>
  </w:num>
  <w:num w:numId="147" w16cid:durableId="1333295538">
    <w:abstractNumId w:val="175"/>
  </w:num>
  <w:num w:numId="148" w16cid:durableId="370423681">
    <w:abstractNumId w:val="77"/>
  </w:num>
  <w:num w:numId="149" w16cid:durableId="1718356179">
    <w:abstractNumId w:val="162"/>
  </w:num>
  <w:num w:numId="150" w16cid:durableId="1169637242">
    <w:abstractNumId w:val="160"/>
  </w:num>
  <w:num w:numId="151" w16cid:durableId="1855486892">
    <w:abstractNumId w:val="12"/>
  </w:num>
  <w:num w:numId="152" w16cid:durableId="731732321">
    <w:abstractNumId w:val="50"/>
  </w:num>
  <w:num w:numId="153" w16cid:durableId="917249012">
    <w:abstractNumId w:val="63"/>
  </w:num>
  <w:num w:numId="154" w16cid:durableId="946235326">
    <w:abstractNumId w:val="56"/>
  </w:num>
  <w:num w:numId="155" w16cid:durableId="1151560060">
    <w:abstractNumId w:val="82"/>
  </w:num>
  <w:num w:numId="156" w16cid:durableId="976954353">
    <w:abstractNumId w:val="181"/>
  </w:num>
  <w:num w:numId="157" w16cid:durableId="551575820">
    <w:abstractNumId w:val="45"/>
  </w:num>
  <w:num w:numId="158" w16cid:durableId="973408631">
    <w:abstractNumId w:val="138"/>
  </w:num>
  <w:num w:numId="159" w16cid:durableId="1713654512">
    <w:abstractNumId w:val="134"/>
  </w:num>
  <w:num w:numId="160" w16cid:durableId="566887059">
    <w:abstractNumId w:val="64"/>
  </w:num>
  <w:num w:numId="161" w16cid:durableId="1182890229">
    <w:abstractNumId w:val="5"/>
  </w:num>
  <w:num w:numId="162" w16cid:durableId="835341922">
    <w:abstractNumId w:val="7"/>
  </w:num>
  <w:num w:numId="163" w16cid:durableId="1536961617">
    <w:abstractNumId w:val="86"/>
  </w:num>
  <w:num w:numId="164" w16cid:durableId="1156259484">
    <w:abstractNumId w:val="168"/>
  </w:num>
  <w:num w:numId="165" w16cid:durableId="370109014">
    <w:abstractNumId w:val="85"/>
  </w:num>
  <w:num w:numId="166" w16cid:durableId="485249433">
    <w:abstractNumId w:val="33"/>
  </w:num>
  <w:num w:numId="167" w16cid:durableId="668411041">
    <w:abstractNumId w:val="119"/>
  </w:num>
  <w:num w:numId="168" w16cid:durableId="2069380859">
    <w:abstractNumId w:val="61"/>
  </w:num>
  <w:num w:numId="169" w16cid:durableId="530806859">
    <w:abstractNumId w:val="101"/>
  </w:num>
  <w:num w:numId="170" w16cid:durableId="375857064">
    <w:abstractNumId w:val="78"/>
  </w:num>
  <w:num w:numId="171" w16cid:durableId="325015468">
    <w:abstractNumId w:val="81"/>
  </w:num>
  <w:num w:numId="172" w16cid:durableId="283539485">
    <w:abstractNumId w:val="114"/>
  </w:num>
  <w:num w:numId="173" w16cid:durableId="108009571">
    <w:abstractNumId w:val="127"/>
  </w:num>
  <w:num w:numId="174" w16cid:durableId="759836566">
    <w:abstractNumId w:val="129"/>
  </w:num>
  <w:num w:numId="175" w16cid:durableId="1006443430">
    <w:abstractNumId w:val="144"/>
  </w:num>
  <w:num w:numId="176" w16cid:durableId="754860975">
    <w:abstractNumId w:val="107"/>
  </w:num>
  <w:num w:numId="177" w16cid:durableId="1324970533">
    <w:abstractNumId w:val="126"/>
  </w:num>
  <w:num w:numId="178" w16cid:durableId="762725755">
    <w:abstractNumId w:val="117"/>
  </w:num>
  <w:num w:numId="179" w16cid:durableId="362554394">
    <w:abstractNumId w:val="57"/>
  </w:num>
  <w:num w:numId="180" w16cid:durableId="126244413">
    <w:abstractNumId w:val="84"/>
  </w:num>
  <w:num w:numId="181" w16cid:durableId="1376277831">
    <w:abstractNumId w:val="104"/>
  </w:num>
  <w:num w:numId="182" w16cid:durableId="424034571">
    <w:abstractNumId w:val="146"/>
  </w:num>
  <w:num w:numId="183" w16cid:durableId="1798989914">
    <w:abstractNumId w:val="31"/>
  </w:num>
  <w:numIdMacAtCleanup w:val="1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44"/>
    <w:rsid w:val="00006683"/>
    <w:rsid w:val="0001571D"/>
    <w:rsid w:val="000368C7"/>
    <w:rsid w:val="00041193"/>
    <w:rsid w:val="00053D7B"/>
    <w:rsid w:val="0005550A"/>
    <w:rsid w:val="00064F2A"/>
    <w:rsid w:val="00070668"/>
    <w:rsid w:val="00091CB7"/>
    <w:rsid w:val="000B5DC4"/>
    <w:rsid w:val="000E776E"/>
    <w:rsid w:val="00124920"/>
    <w:rsid w:val="001514A2"/>
    <w:rsid w:val="001543C3"/>
    <w:rsid w:val="00163F33"/>
    <w:rsid w:val="00164509"/>
    <w:rsid w:val="00177AAB"/>
    <w:rsid w:val="001B2F9F"/>
    <w:rsid w:val="001C10DC"/>
    <w:rsid w:val="001D0E60"/>
    <w:rsid w:val="001D65B8"/>
    <w:rsid w:val="001F4FE8"/>
    <w:rsid w:val="00200EE9"/>
    <w:rsid w:val="0020124C"/>
    <w:rsid w:val="0020286A"/>
    <w:rsid w:val="002028D5"/>
    <w:rsid w:val="002153A3"/>
    <w:rsid w:val="00216BFC"/>
    <w:rsid w:val="00225E1A"/>
    <w:rsid w:val="002520F1"/>
    <w:rsid w:val="00280528"/>
    <w:rsid w:val="0028519E"/>
    <w:rsid w:val="00290E01"/>
    <w:rsid w:val="0029589D"/>
    <w:rsid w:val="002A1B27"/>
    <w:rsid w:val="002B4537"/>
    <w:rsid w:val="002C19F3"/>
    <w:rsid w:val="002D4AB0"/>
    <w:rsid w:val="002E1A3B"/>
    <w:rsid w:val="002E360B"/>
    <w:rsid w:val="002F7BFE"/>
    <w:rsid w:val="00304EFB"/>
    <w:rsid w:val="0031711E"/>
    <w:rsid w:val="003510C3"/>
    <w:rsid w:val="00367BF2"/>
    <w:rsid w:val="0037148D"/>
    <w:rsid w:val="0037545B"/>
    <w:rsid w:val="00377AA0"/>
    <w:rsid w:val="00380287"/>
    <w:rsid w:val="00386BD5"/>
    <w:rsid w:val="00393EB3"/>
    <w:rsid w:val="003B2010"/>
    <w:rsid w:val="003B470F"/>
    <w:rsid w:val="003B7420"/>
    <w:rsid w:val="003D27A1"/>
    <w:rsid w:val="00401268"/>
    <w:rsid w:val="004124F4"/>
    <w:rsid w:val="00415262"/>
    <w:rsid w:val="00466666"/>
    <w:rsid w:val="00492BD5"/>
    <w:rsid w:val="004A013E"/>
    <w:rsid w:val="004A1276"/>
    <w:rsid w:val="004C7757"/>
    <w:rsid w:val="004E0B44"/>
    <w:rsid w:val="00522AB8"/>
    <w:rsid w:val="005272FF"/>
    <w:rsid w:val="00532683"/>
    <w:rsid w:val="005403DD"/>
    <w:rsid w:val="00543593"/>
    <w:rsid w:val="00574A73"/>
    <w:rsid w:val="00580E8D"/>
    <w:rsid w:val="00584FF0"/>
    <w:rsid w:val="0058785D"/>
    <w:rsid w:val="005A561F"/>
    <w:rsid w:val="005C4B78"/>
    <w:rsid w:val="005E1526"/>
    <w:rsid w:val="005E7B61"/>
    <w:rsid w:val="005F0379"/>
    <w:rsid w:val="005F4B1F"/>
    <w:rsid w:val="005F7936"/>
    <w:rsid w:val="00600B49"/>
    <w:rsid w:val="0060403D"/>
    <w:rsid w:val="00613701"/>
    <w:rsid w:val="00637E5A"/>
    <w:rsid w:val="00651B60"/>
    <w:rsid w:val="00663570"/>
    <w:rsid w:val="006659B8"/>
    <w:rsid w:val="006A6C2D"/>
    <w:rsid w:val="006B26FB"/>
    <w:rsid w:val="006B2C66"/>
    <w:rsid w:val="006C5A8B"/>
    <w:rsid w:val="006E0DF8"/>
    <w:rsid w:val="006E58AA"/>
    <w:rsid w:val="006E5BC5"/>
    <w:rsid w:val="006F3539"/>
    <w:rsid w:val="006F3CCB"/>
    <w:rsid w:val="00704FC8"/>
    <w:rsid w:val="00710804"/>
    <w:rsid w:val="007109C4"/>
    <w:rsid w:val="00711BDD"/>
    <w:rsid w:val="007131D7"/>
    <w:rsid w:val="00716344"/>
    <w:rsid w:val="00720212"/>
    <w:rsid w:val="00725614"/>
    <w:rsid w:val="00745B62"/>
    <w:rsid w:val="00782260"/>
    <w:rsid w:val="007D3796"/>
    <w:rsid w:val="007D7F1C"/>
    <w:rsid w:val="007F7B34"/>
    <w:rsid w:val="00802386"/>
    <w:rsid w:val="00827A51"/>
    <w:rsid w:val="008348B7"/>
    <w:rsid w:val="00846C12"/>
    <w:rsid w:val="00866856"/>
    <w:rsid w:val="00872FB4"/>
    <w:rsid w:val="00873304"/>
    <w:rsid w:val="008822DA"/>
    <w:rsid w:val="008B0AB5"/>
    <w:rsid w:val="008B1300"/>
    <w:rsid w:val="008B2613"/>
    <w:rsid w:val="008B67C1"/>
    <w:rsid w:val="008B7B9B"/>
    <w:rsid w:val="008C15D5"/>
    <w:rsid w:val="008D371F"/>
    <w:rsid w:val="008F3713"/>
    <w:rsid w:val="008F77D6"/>
    <w:rsid w:val="00913F01"/>
    <w:rsid w:val="00920CDC"/>
    <w:rsid w:val="00923067"/>
    <w:rsid w:val="00945B61"/>
    <w:rsid w:val="00950F8E"/>
    <w:rsid w:val="009611FA"/>
    <w:rsid w:val="009631DA"/>
    <w:rsid w:val="00981AD8"/>
    <w:rsid w:val="00982CCC"/>
    <w:rsid w:val="00985D73"/>
    <w:rsid w:val="00986468"/>
    <w:rsid w:val="009923F3"/>
    <w:rsid w:val="0099546A"/>
    <w:rsid w:val="00995BDE"/>
    <w:rsid w:val="009A5745"/>
    <w:rsid w:val="009B551C"/>
    <w:rsid w:val="009C2A25"/>
    <w:rsid w:val="009C374B"/>
    <w:rsid w:val="009D4E93"/>
    <w:rsid w:val="009E2A42"/>
    <w:rsid w:val="009F3B10"/>
    <w:rsid w:val="009F40CC"/>
    <w:rsid w:val="009F4559"/>
    <w:rsid w:val="009F4AB6"/>
    <w:rsid w:val="009F6045"/>
    <w:rsid w:val="00A15E90"/>
    <w:rsid w:val="00A22B19"/>
    <w:rsid w:val="00A37DF6"/>
    <w:rsid w:val="00A45B3E"/>
    <w:rsid w:val="00A82AD1"/>
    <w:rsid w:val="00A96746"/>
    <w:rsid w:val="00AA4B73"/>
    <w:rsid w:val="00AB34DC"/>
    <w:rsid w:val="00AB38B6"/>
    <w:rsid w:val="00AB4F29"/>
    <w:rsid w:val="00AC1146"/>
    <w:rsid w:val="00AC3D7C"/>
    <w:rsid w:val="00AF2B59"/>
    <w:rsid w:val="00AF7760"/>
    <w:rsid w:val="00B01FFB"/>
    <w:rsid w:val="00B05049"/>
    <w:rsid w:val="00B0706D"/>
    <w:rsid w:val="00B077DB"/>
    <w:rsid w:val="00B203FB"/>
    <w:rsid w:val="00B2235D"/>
    <w:rsid w:val="00B301A0"/>
    <w:rsid w:val="00B30E63"/>
    <w:rsid w:val="00B311FB"/>
    <w:rsid w:val="00B3327A"/>
    <w:rsid w:val="00B47610"/>
    <w:rsid w:val="00B52AA2"/>
    <w:rsid w:val="00B6026E"/>
    <w:rsid w:val="00B61721"/>
    <w:rsid w:val="00B83A53"/>
    <w:rsid w:val="00B85891"/>
    <w:rsid w:val="00B9337D"/>
    <w:rsid w:val="00BA533C"/>
    <w:rsid w:val="00BB244B"/>
    <w:rsid w:val="00BB692D"/>
    <w:rsid w:val="00BC28E1"/>
    <w:rsid w:val="00BC4E63"/>
    <w:rsid w:val="00BC5C50"/>
    <w:rsid w:val="00BE2B68"/>
    <w:rsid w:val="00C01E80"/>
    <w:rsid w:val="00C072EE"/>
    <w:rsid w:val="00C11E42"/>
    <w:rsid w:val="00C132B9"/>
    <w:rsid w:val="00C26F69"/>
    <w:rsid w:val="00C34059"/>
    <w:rsid w:val="00C44CBB"/>
    <w:rsid w:val="00C57AF9"/>
    <w:rsid w:val="00C623A3"/>
    <w:rsid w:val="00C655C6"/>
    <w:rsid w:val="00C90F2C"/>
    <w:rsid w:val="00CC0115"/>
    <w:rsid w:val="00CC07A2"/>
    <w:rsid w:val="00CD6623"/>
    <w:rsid w:val="00CE1A69"/>
    <w:rsid w:val="00CE61EF"/>
    <w:rsid w:val="00D0637D"/>
    <w:rsid w:val="00D140C8"/>
    <w:rsid w:val="00D2291A"/>
    <w:rsid w:val="00D2504C"/>
    <w:rsid w:val="00D44D8E"/>
    <w:rsid w:val="00D46DCD"/>
    <w:rsid w:val="00D60911"/>
    <w:rsid w:val="00D67971"/>
    <w:rsid w:val="00D73106"/>
    <w:rsid w:val="00D95B45"/>
    <w:rsid w:val="00D9777B"/>
    <w:rsid w:val="00DA308C"/>
    <w:rsid w:val="00DF0502"/>
    <w:rsid w:val="00DF0DC3"/>
    <w:rsid w:val="00E05B53"/>
    <w:rsid w:val="00E538CF"/>
    <w:rsid w:val="00E57833"/>
    <w:rsid w:val="00EA4BD7"/>
    <w:rsid w:val="00EC5924"/>
    <w:rsid w:val="00EC6A22"/>
    <w:rsid w:val="00ED7152"/>
    <w:rsid w:val="00F06B76"/>
    <w:rsid w:val="00F30C7C"/>
    <w:rsid w:val="00F35739"/>
    <w:rsid w:val="00F54136"/>
    <w:rsid w:val="00F66950"/>
    <w:rsid w:val="00F823FA"/>
    <w:rsid w:val="00F84F31"/>
    <w:rsid w:val="00F95A60"/>
    <w:rsid w:val="00FC25B8"/>
    <w:rsid w:val="00FC373D"/>
    <w:rsid w:val="00FC3A2D"/>
    <w:rsid w:val="00FC523D"/>
    <w:rsid w:val="00FE6655"/>
    <w:rsid w:val="00FF1A5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E2BDA6"/>
  <w15:chartTrackingRefBased/>
  <w15:docId w15:val="{21025AF0-70B0-964B-9A50-7CC424593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C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163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7163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71634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71634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71634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71634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1634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1634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1634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16344"/>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716344"/>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71634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716344"/>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716344"/>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71634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1634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1634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16344"/>
    <w:rPr>
      <w:rFonts w:eastAsiaTheme="majorEastAsia" w:cstheme="majorBidi"/>
      <w:color w:val="272727" w:themeColor="text1" w:themeTint="D8"/>
    </w:rPr>
  </w:style>
  <w:style w:type="paragraph" w:styleId="Ttulo">
    <w:name w:val="Title"/>
    <w:basedOn w:val="Normal"/>
    <w:next w:val="Normal"/>
    <w:link w:val="TtuloCar"/>
    <w:uiPriority w:val="10"/>
    <w:qFormat/>
    <w:rsid w:val="007163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71634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71634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1634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16344"/>
    <w:pPr>
      <w:spacing w:before="160"/>
      <w:jc w:val="center"/>
    </w:pPr>
    <w:rPr>
      <w:i/>
      <w:iCs/>
      <w:color w:val="404040" w:themeColor="text1" w:themeTint="BF"/>
    </w:rPr>
  </w:style>
  <w:style w:type="character" w:customStyle="1" w:styleId="CitaCar">
    <w:name w:val="Cita Car"/>
    <w:basedOn w:val="Fuentedeprrafopredeter"/>
    <w:link w:val="Cita"/>
    <w:uiPriority w:val="29"/>
    <w:rsid w:val="00716344"/>
    <w:rPr>
      <w:i/>
      <w:iCs/>
      <w:color w:val="404040" w:themeColor="text1" w:themeTint="BF"/>
    </w:rPr>
  </w:style>
  <w:style w:type="paragraph" w:styleId="Prrafodelista">
    <w:name w:val="List Paragraph"/>
    <w:aliases w:val="EY EPM - Lista,Bullet points,items,Heading 2_sj,Bolita,Betulia Título 1,titulo 5,Guión,BOLA,Párrafo de lista21,Titulo 8,Párrafo de lista3,HOJA,Párrafo encimadas,Colorful List Accent 1,Colorful List - Accent 11,BOLADEF"/>
    <w:basedOn w:val="Normal"/>
    <w:link w:val="PrrafodelistaCar"/>
    <w:uiPriority w:val="34"/>
    <w:qFormat/>
    <w:rsid w:val="00716344"/>
    <w:pPr>
      <w:ind w:left="720"/>
      <w:contextualSpacing/>
    </w:pPr>
  </w:style>
  <w:style w:type="character" w:styleId="nfasisintenso">
    <w:name w:val="Intense Emphasis"/>
    <w:basedOn w:val="Fuentedeprrafopredeter"/>
    <w:uiPriority w:val="21"/>
    <w:qFormat/>
    <w:rsid w:val="00716344"/>
    <w:rPr>
      <w:i/>
      <w:iCs/>
      <w:color w:val="0F4761" w:themeColor="accent1" w:themeShade="BF"/>
    </w:rPr>
  </w:style>
  <w:style w:type="paragraph" w:styleId="Citadestacada">
    <w:name w:val="Intense Quote"/>
    <w:basedOn w:val="Normal"/>
    <w:next w:val="Normal"/>
    <w:link w:val="CitadestacadaCar"/>
    <w:uiPriority w:val="30"/>
    <w:qFormat/>
    <w:rsid w:val="007163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16344"/>
    <w:rPr>
      <w:i/>
      <w:iCs/>
      <w:color w:val="0F4761" w:themeColor="accent1" w:themeShade="BF"/>
    </w:rPr>
  </w:style>
  <w:style w:type="character" w:styleId="Referenciaintensa">
    <w:name w:val="Intense Reference"/>
    <w:basedOn w:val="Fuentedeprrafopredeter"/>
    <w:uiPriority w:val="32"/>
    <w:qFormat/>
    <w:rsid w:val="00716344"/>
    <w:rPr>
      <w:b/>
      <w:bCs/>
      <w:smallCaps/>
      <w:color w:val="0F4761" w:themeColor="accent1" w:themeShade="BF"/>
      <w:spacing w:val="5"/>
    </w:rPr>
  </w:style>
  <w:style w:type="paragraph" w:styleId="Encabezado">
    <w:name w:val="header"/>
    <w:basedOn w:val="Normal"/>
    <w:link w:val="EncabezadoCar"/>
    <w:uiPriority w:val="99"/>
    <w:unhideWhenUsed/>
    <w:rsid w:val="00711BD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11BDD"/>
  </w:style>
  <w:style w:type="paragraph" w:styleId="Piedepgina">
    <w:name w:val="footer"/>
    <w:basedOn w:val="Normal"/>
    <w:link w:val="PiedepginaCar"/>
    <w:uiPriority w:val="99"/>
    <w:unhideWhenUsed/>
    <w:rsid w:val="00711BD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11BDD"/>
  </w:style>
  <w:style w:type="numbering" w:customStyle="1" w:styleId="Listaactual1">
    <w:name w:val="Lista actual1"/>
    <w:uiPriority w:val="99"/>
    <w:rsid w:val="00A15E90"/>
    <w:pPr>
      <w:numPr>
        <w:numId w:val="1"/>
      </w:numPr>
    </w:pPr>
  </w:style>
  <w:style w:type="table" w:styleId="Tablaconcuadrcula">
    <w:name w:val="Table Grid"/>
    <w:basedOn w:val="Tablanormal"/>
    <w:uiPriority w:val="39"/>
    <w:rsid w:val="00200E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character" w:customStyle="1" w:styleId="PrrafodelistaCar">
    <w:name w:val="Párrafo de lista Car"/>
    <w:aliases w:val="EY EPM - Lista Car,Bullet points Car,items Car,Heading 2_sj Car,Bolita Car,Betulia Título 1 Car,titulo 5 Car,Guión Car,BOLA Car,Párrafo de lista21 Car,Titulo 8 Car,Párrafo de lista3 Car,HOJA Car,Párrafo encimadas Car,BOLADEF Car"/>
    <w:basedOn w:val="Fuentedeprrafopredeter"/>
    <w:link w:val="Prrafodelista"/>
    <w:uiPriority w:val="34"/>
    <w:locked/>
    <w:rsid w:val="009D4E93"/>
  </w:style>
  <w:style w:type="paragraph" w:customStyle="1" w:styleId="Textoindependiente31">
    <w:name w:val="Texto independiente 31"/>
    <w:basedOn w:val="Normal"/>
    <w:rsid w:val="009D4E93"/>
    <w:pPr>
      <w:widowControl w:val="0"/>
      <w:spacing w:after="0" w:line="240" w:lineRule="auto"/>
      <w:jc w:val="both"/>
    </w:pPr>
    <w:rPr>
      <w:rFonts w:ascii="Times New Roman" w:eastAsia="Times New Roman" w:hAnsi="Times New Roman" w:cs="Times New Roman"/>
      <w:kern w:val="0"/>
      <w:szCs w:val="20"/>
      <w:lang w:val="es-ES" w:eastAsia="es-ES"/>
      <w14:ligatures w14:val="none"/>
    </w:rPr>
  </w:style>
  <w:style w:type="table" w:styleId="Tablaconcuadrcula4-nfasis4">
    <w:name w:val="Grid Table 4 Accent 4"/>
    <w:basedOn w:val="Tablanormal"/>
    <w:uiPriority w:val="49"/>
    <w:rsid w:val="009D4E93"/>
    <w:pPr>
      <w:spacing w:after="0" w:line="240" w:lineRule="auto"/>
    </w:pPr>
    <w:rPr>
      <w:kern w:val="0"/>
      <w:sz w:val="22"/>
      <w:szCs w:val="22"/>
      <w:lang w:val="es-MX"/>
      <w14:ligatures w14:val="none"/>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customStyle="1" w:styleId="Textodecuerpo31">
    <w:name w:val="Texto de cuerpo 31"/>
    <w:basedOn w:val="Normal"/>
    <w:rsid w:val="009D4E93"/>
    <w:pPr>
      <w:widowControl w:val="0"/>
      <w:spacing w:after="0" w:line="240" w:lineRule="auto"/>
      <w:jc w:val="both"/>
    </w:pPr>
    <w:rPr>
      <w:rFonts w:ascii="Times New Roman" w:eastAsia="Times New Roman" w:hAnsi="Times New Roman" w:cs="Times New Roman"/>
      <w:kern w:val="0"/>
      <w:szCs w:val="20"/>
      <w:lang w:val="es-ES" w:eastAsia="es-ES"/>
      <w14:ligatures w14:val="none"/>
    </w:rPr>
  </w:style>
  <w:style w:type="numbering" w:customStyle="1" w:styleId="Sinlista1">
    <w:name w:val="Sin lista1"/>
    <w:next w:val="Sinlista"/>
    <w:uiPriority w:val="99"/>
    <w:semiHidden/>
    <w:unhideWhenUsed/>
    <w:rsid w:val="00E05B53"/>
  </w:style>
  <w:style w:type="paragraph" w:styleId="Textodeglobo">
    <w:name w:val="Balloon Text"/>
    <w:basedOn w:val="Normal"/>
    <w:link w:val="TextodegloboCar"/>
    <w:uiPriority w:val="99"/>
    <w:semiHidden/>
    <w:unhideWhenUsed/>
    <w:rsid w:val="00E05B53"/>
    <w:pPr>
      <w:spacing w:after="0" w:line="240" w:lineRule="auto"/>
    </w:pPr>
    <w:rPr>
      <w:rFonts w:ascii="Segoe UI" w:eastAsia="Aptos" w:hAnsi="Segoe UI" w:cs="Segoe UI"/>
      <w:kern w:val="0"/>
      <w:sz w:val="18"/>
      <w:szCs w:val="18"/>
      <w:lang w:val="es-ES" w:eastAsia="es-CO"/>
      <w14:ligatures w14:val="none"/>
    </w:rPr>
  </w:style>
  <w:style w:type="character" w:customStyle="1" w:styleId="TextodegloboCar">
    <w:name w:val="Texto de globo Car"/>
    <w:basedOn w:val="Fuentedeprrafopredeter"/>
    <w:link w:val="Textodeglobo"/>
    <w:uiPriority w:val="99"/>
    <w:semiHidden/>
    <w:rsid w:val="00E05B53"/>
    <w:rPr>
      <w:rFonts w:ascii="Segoe UI" w:eastAsia="Aptos" w:hAnsi="Segoe UI" w:cs="Segoe UI"/>
      <w:kern w:val="0"/>
      <w:sz w:val="18"/>
      <w:szCs w:val="18"/>
      <w:lang w:val="es-ES" w:eastAsia="es-CO"/>
      <w14:ligatures w14:val="none"/>
    </w:rPr>
  </w:style>
  <w:style w:type="table" w:customStyle="1" w:styleId="Tablaconcuadrcula1">
    <w:name w:val="Tabla con cuadrícula1"/>
    <w:basedOn w:val="Tablanormal"/>
    <w:next w:val="Tablaconcuadrcula"/>
    <w:uiPriority w:val="39"/>
    <w:rsid w:val="00E05B53"/>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E05B53"/>
    <w:pPr>
      <w:spacing w:line="259" w:lineRule="auto"/>
    </w:pPr>
    <w:rPr>
      <w:rFonts w:ascii="Calibri" w:eastAsia="Calibri" w:hAnsi="Calibri" w:cs="Calibri"/>
      <w:kern w:val="0"/>
      <w:sz w:val="22"/>
      <w:szCs w:val="22"/>
      <w:lang w:eastAsia="es-CO"/>
      <w14:ligatures w14:val="none"/>
    </w:rPr>
    <w:tblPr>
      <w:tblCellMar>
        <w:top w:w="0" w:type="dxa"/>
        <w:left w:w="0" w:type="dxa"/>
        <w:bottom w:w="0" w:type="dxa"/>
        <w:right w:w="0" w:type="dxa"/>
      </w:tblCellMar>
    </w:tblPr>
  </w:style>
  <w:style w:type="paragraph" w:styleId="Revisin">
    <w:name w:val="Revision"/>
    <w:hidden/>
    <w:uiPriority w:val="99"/>
    <w:semiHidden/>
    <w:rsid w:val="00E05B53"/>
    <w:pPr>
      <w:spacing w:after="0" w:line="240" w:lineRule="auto"/>
    </w:pPr>
    <w:rPr>
      <w:rFonts w:ascii="Calibri" w:eastAsia="Calibri" w:hAnsi="Calibri" w:cs="Calibri"/>
      <w:kern w:val="0"/>
      <w:sz w:val="22"/>
      <w:szCs w:val="22"/>
      <w:lang w:eastAsia="es-CO"/>
      <w14:ligatures w14:val="none"/>
    </w:rPr>
  </w:style>
  <w:style w:type="character" w:customStyle="1" w:styleId="Hipervnculo1">
    <w:name w:val="Hipervínculo1"/>
    <w:basedOn w:val="Fuentedeprrafopredeter"/>
    <w:uiPriority w:val="99"/>
    <w:unhideWhenUsed/>
    <w:rsid w:val="00E05B53"/>
    <w:rPr>
      <w:color w:val="0563C1"/>
      <w:u w:val="single"/>
    </w:rPr>
  </w:style>
  <w:style w:type="character" w:styleId="Mencinsinresolver">
    <w:name w:val="Unresolved Mention"/>
    <w:basedOn w:val="Fuentedeprrafopredeter"/>
    <w:uiPriority w:val="99"/>
    <w:semiHidden/>
    <w:unhideWhenUsed/>
    <w:rsid w:val="00E05B53"/>
    <w:rPr>
      <w:color w:val="605E5C"/>
      <w:shd w:val="clear" w:color="auto" w:fill="E1DFDD"/>
    </w:rPr>
  </w:style>
  <w:style w:type="character" w:styleId="Textoennegrita">
    <w:name w:val="Strong"/>
    <w:basedOn w:val="Fuentedeprrafopredeter"/>
    <w:uiPriority w:val="22"/>
    <w:qFormat/>
    <w:rsid w:val="00E05B53"/>
    <w:rPr>
      <w:b/>
      <w:bCs/>
    </w:rPr>
  </w:style>
  <w:style w:type="character" w:styleId="Hipervnculo">
    <w:name w:val="Hyperlink"/>
    <w:basedOn w:val="Fuentedeprrafopredeter"/>
    <w:uiPriority w:val="99"/>
    <w:unhideWhenUsed/>
    <w:rsid w:val="00E05B53"/>
    <w:rPr>
      <w:color w:val="467886" w:themeColor="hyperlink"/>
      <w:u w:val="single"/>
    </w:rPr>
  </w:style>
  <w:style w:type="character" w:styleId="Hipervnculovisitado">
    <w:name w:val="FollowedHyperlink"/>
    <w:basedOn w:val="Fuentedeprrafopredeter"/>
    <w:uiPriority w:val="99"/>
    <w:semiHidden/>
    <w:unhideWhenUsed/>
    <w:rsid w:val="00D9777B"/>
    <w:rPr>
      <w:color w:val="96607D" w:themeColor="followedHyperlink"/>
      <w:u w:val="single"/>
    </w:rPr>
  </w:style>
  <w:style w:type="character" w:styleId="Nmerodepgina">
    <w:name w:val="page number"/>
    <w:basedOn w:val="Fuentedeprrafopredeter"/>
    <w:uiPriority w:val="99"/>
    <w:semiHidden/>
    <w:unhideWhenUsed/>
    <w:rsid w:val="00BA533C"/>
  </w:style>
  <w:style w:type="paragraph" w:customStyle="1" w:styleId="cvgsua">
    <w:name w:val="cvgsua"/>
    <w:basedOn w:val="Normal"/>
    <w:rsid w:val="00C655C6"/>
    <w:pPr>
      <w:spacing w:before="100" w:beforeAutospacing="1" w:after="100" w:afterAutospacing="1" w:line="240" w:lineRule="auto"/>
    </w:pPr>
    <w:rPr>
      <w:rFonts w:ascii="Times New Roman" w:eastAsia="Times New Roman" w:hAnsi="Times New Roman" w:cs="Times New Roman"/>
      <w:kern w:val="0"/>
      <w:lang w:eastAsia="es-CO"/>
      <w14:ligatures w14:val="none"/>
    </w:rPr>
  </w:style>
  <w:style w:type="character" w:customStyle="1" w:styleId="oypena">
    <w:name w:val="oypena"/>
    <w:basedOn w:val="Fuentedeprrafopredeter"/>
    <w:rsid w:val="00C655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391420">
      <w:bodyDiv w:val="1"/>
      <w:marLeft w:val="0"/>
      <w:marRight w:val="0"/>
      <w:marTop w:val="0"/>
      <w:marBottom w:val="0"/>
      <w:divBdr>
        <w:top w:val="none" w:sz="0" w:space="0" w:color="auto"/>
        <w:left w:val="none" w:sz="0" w:space="0" w:color="auto"/>
        <w:bottom w:val="none" w:sz="0" w:space="0" w:color="auto"/>
        <w:right w:val="none" w:sz="0" w:space="0" w:color="auto"/>
      </w:divBdr>
    </w:div>
    <w:div w:id="727460483">
      <w:bodyDiv w:val="1"/>
      <w:marLeft w:val="0"/>
      <w:marRight w:val="0"/>
      <w:marTop w:val="0"/>
      <w:marBottom w:val="0"/>
      <w:divBdr>
        <w:top w:val="none" w:sz="0" w:space="0" w:color="auto"/>
        <w:left w:val="none" w:sz="0" w:space="0" w:color="auto"/>
        <w:bottom w:val="none" w:sz="0" w:space="0" w:color="auto"/>
        <w:right w:val="none" w:sz="0" w:space="0" w:color="auto"/>
      </w:divBdr>
    </w:div>
    <w:div w:id="1162428657">
      <w:bodyDiv w:val="1"/>
      <w:marLeft w:val="0"/>
      <w:marRight w:val="0"/>
      <w:marTop w:val="0"/>
      <w:marBottom w:val="0"/>
      <w:divBdr>
        <w:top w:val="none" w:sz="0" w:space="0" w:color="auto"/>
        <w:left w:val="none" w:sz="0" w:space="0" w:color="auto"/>
        <w:bottom w:val="none" w:sz="0" w:space="0" w:color="auto"/>
        <w:right w:val="none" w:sz="0" w:space="0" w:color="auto"/>
      </w:divBdr>
    </w:div>
    <w:div w:id="1845973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cortina@transelca.com.co" TargetMode="External"/><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hyperlink" Target="https://app.upme.gov.co/Calculadora_Emisiones1/new/calculadora.html" TargetMode="External"/><Relationship Id="rId50" Type="http://schemas.openxmlformats.org/officeDocument/2006/relationships/image" Target="media/image4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7381ED-02BD-FA46-BB3C-BAAEB00B9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159</Pages>
  <Words>30392</Words>
  <Characters>167160</Characters>
  <Application>Microsoft Office Word</Application>
  <DocSecurity>4</DocSecurity>
  <Lines>1393</Lines>
  <Paragraphs>394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Astudillo</dc:creator>
  <cp:keywords/>
  <dc:description/>
  <cp:lastModifiedBy>SERGIO ANDRES CASTAÑEDA HIDALGO</cp:lastModifiedBy>
  <cp:revision>2</cp:revision>
  <cp:lastPrinted>2025-02-17T19:00:00Z</cp:lastPrinted>
  <dcterms:created xsi:type="dcterms:W3CDTF">2025-05-08T16:44:00Z</dcterms:created>
  <dcterms:modified xsi:type="dcterms:W3CDTF">2025-05-08T16:44:00Z</dcterms:modified>
</cp:coreProperties>
</file>